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宋体" w:hAnsi="宋体" w:cs="宋体"/>
          <w:color w:val="auto"/>
          <w:sz w:val="36"/>
        </w:rPr>
      </w:pPr>
      <w:bookmarkStart w:id="0" w:name="_Toc216702787"/>
      <w:bookmarkStart w:id="1" w:name="_Toc216619175"/>
      <w:bookmarkStart w:id="2" w:name="_Toc414445718"/>
      <w:bookmarkStart w:id="3" w:name="_Toc217996594"/>
      <w:bookmarkStart w:id="4" w:name="_Toc219467631"/>
      <w:bookmarkStart w:id="5" w:name="_Toc195921780"/>
      <w:r>
        <w:rPr>
          <w:rFonts w:hint="eastAsia" w:asciiTheme="minorEastAsia" w:hAnsiTheme="minorEastAsia" w:eastAsiaTheme="minorEastAsia" w:cstheme="minorEastAsia"/>
          <w:color w:val="auto"/>
          <w:sz w:val="36"/>
        </w:rPr>
        <w:drawing>
          <wp:inline distT="0" distB="0" distL="0" distR="0">
            <wp:extent cx="685800" cy="542925"/>
            <wp:effectExtent l="0" t="0" r="0" b="9525"/>
            <wp:docPr id="6" name="图片 6"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con"/>
                    <pic:cNvPicPr>
                      <a:picLocks noChangeAspect="1" noChangeArrowheads="1"/>
                    </pic:cNvPicPr>
                  </pic:nvPicPr>
                  <pic:blipFill>
                    <a:blip r:embed="rId12" cstate="print"/>
                    <a:srcRect/>
                    <a:stretch>
                      <a:fillRect/>
                    </a:stretch>
                  </pic:blipFill>
                  <pic:spPr>
                    <a:xfrm>
                      <a:off x="0" y="0"/>
                      <a:ext cx="685800" cy="542925"/>
                    </a:xfrm>
                    <a:prstGeom prst="rect">
                      <a:avLst/>
                    </a:prstGeom>
                    <a:noFill/>
                    <a:ln w="9525" cmpd="sng">
                      <a:noFill/>
                      <a:miter lim="800000"/>
                      <a:headEnd/>
                      <a:tailEnd/>
                    </a:ln>
                  </pic:spPr>
                </pic:pic>
              </a:graphicData>
            </a:graphic>
          </wp:inline>
        </w:drawing>
      </w:r>
    </w:p>
    <w:p>
      <w:pPr>
        <w:pStyle w:val="19"/>
        <w:ind w:firstLine="284" w:firstLineChars="101"/>
        <w:jc w:val="left"/>
        <w:rPr>
          <w:rFonts w:ascii="宋体" w:hAnsi="宋体" w:cs="宋体"/>
          <w:b w:val="0"/>
          <w:color w:val="auto"/>
          <w:sz w:val="52"/>
        </w:rPr>
      </w:pPr>
      <w:r>
        <w:rPr>
          <w:rFonts w:hint="eastAsia" w:ascii="宋体" w:hAnsi="宋体" w:cs="宋体"/>
          <w:color w:val="auto"/>
        </w:rPr>
        <w:t>GXTC</w:t>
      </w:r>
    </w:p>
    <w:p>
      <w:pPr>
        <w:jc w:val="center"/>
        <w:rPr>
          <w:rFonts w:ascii="宋体" w:hAnsi="宋体" w:cs="宋体"/>
          <w:b/>
          <w:bCs/>
          <w:color w:val="auto"/>
          <w:sz w:val="84"/>
        </w:rPr>
      </w:pPr>
    </w:p>
    <w:p>
      <w:pPr>
        <w:jc w:val="center"/>
        <w:rPr>
          <w:rFonts w:ascii="宋体" w:hAnsi="宋体" w:cs="宋体"/>
          <w:b/>
          <w:bCs/>
          <w:color w:val="auto"/>
          <w:sz w:val="48"/>
          <w:szCs w:val="48"/>
        </w:rPr>
      </w:pPr>
      <w:r>
        <w:rPr>
          <w:rFonts w:hint="eastAsia" w:ascii="宋体" w:hAnsi="宋体" w:cs="宋体"/>
          <w:b/>
          <w:bCs/>
          <w:color w:val="auto"/>
          <w:sz w:val="48"/>
          <w:szCs w:val="48"/>
        </w:rPr>
        <w:t>政府采购竞争性磋商</w:t>
      </w:r>
    </w:p>
    <w:p>
      <w:pPr>
        <w:jc w:val="center"/>
        <w:rPr>
          <w:rFonts w:ascii="宋体" w:hAnsi="宋体" w:cs="宋体"/>
          <w:b/>
          <w:bCs/>
          <w:color w:val="auto"/>
          <w:sz w:val="48"/>
          <w:szCs w:val="48"/>
        </w:rPr>
      </w:pPr>
    </w:p>
    <w:p>
      <w:pPr>
        <w:jc w:val="center"/>
        <w:rPr>
          <w:rFonts w:ascii="宋体" w:hAnsi="宋体" w:cs="宋体"/>
          <w:b/>
          <w:bCs/>
          <w:color w:val="auto"/>
          <w:sz w:val="84"/>
        </w:rPr>
      </w:pPr>
      <w:r>
        <w:rPr>
          <w:rFonts w:hint="eastAsia" w:ascii="宋体" w:hAnsi="宋体" w:cs="宋体"/>
          <w:b/>
          <w:bCs/>
          <w:color w:val="auto"/>
          <w:sz w:val="84"/>
        </w:rPr>
        <w:t>磋 商 文 件</w:t>
      </w:r>
    </w:p>
    <w:p>
      <w:pPr>
        <w:adjustRightInd w:val="0"/>
        <w:jc w:val="center"/>
        <w:textAlignment w:val="baseline"/>
        <w:rPr>
          <w:rFonts w:ascii="宋体" w:hAnsi="宋体" w:cs="宋体"/>
          <w:b/>
          <w:bCs/>
          <w:color w:val="auto"/>
          <w:sz w:val="36"/>
        </w:rPr>
      </w:pPr>
    </w:p>
    <w:p>
      <w:pPr>
        <w:tabs>
          <w:tab w:val="left" w:pos="6765"/>
        </w:tabs>
        <w:adjustRightInd w:val="0"/>
        <w:ind w:firstLine="1084" w:firstLineChars="300"/>
        <w:jc w:val="left"/>
        <w:textAlignment w:val="baseline"/>
        <w:rPr>
          <w:rFonts w:ascii="宋体" w:hAnsi="宋体" w:cs="宋体"/>
          <w:b/>
          <w:bCs/>
          <w:color w:val="auto"/>
          <w:sz w:val="36"/>
        </w:rPr>
      </w:pPr>
      <w:r>
        <w:rPr>
          <w:rFonts w:ascii="宋体" w:hAnsi="宋体" w:cs="宋体"/>
          <w:b/>
          <w:bCs/>
          <w:color w:val="auto"/>
          <w:sz w:val="36"/>
        </w:rPr>
        <w:tab/>
      </w:r>
    </w:p>
    <w:p>
      <w:pPr>
        <w:adjustRightInd w:val="0"/>
        <w:ind w:firstLine="1606" w:firstLineChars="500"/>
        <w:jc w:val="left"/>
        <w:textAlignment w:val="baseline"/>
        <w:rPr>
          <w:rFonts w:ascii="宋体" w:hAnsi="宋体" w:cs="宋体"/>
          <w:b/>
          <w:bCs/>
          <w:color w:val="auto"/>
          <w:sz w:val="32"/>
          <w:szCs w:val="32"/>
        </w:rPr>
      </w:pPr>
    </w:p>
    <w:p>
      <w:pPr>
        <w:adjustRightInd w:val="0"/>
        <w:ind w:firstLine="964" w:firstLineChars="300"/>
        <w:jc w:val="left"/>
        <w:textAlignment w:val="baseline"/>
        <w:rPr>
          <w:rFonts w:ascii="宋体" w:hAnsi="宋体" w:cs="宋体"/>
          <w:b/>
          <w:bCs/>
          <w:color w:val="auto"/>
          <w:sz w:val="32"/>
          <w:szCs w:val="32"/>
        </w:rPr>
      </w:pPr>
      <w:r>
        <w:rPr>
          <w:rFonts w:hint="eastAsia" w:ascii="宋体" w:hAnsi="宋体" w:cs="宋体"/>
          <w:b/>
          <w:bCs/>
          <w:color w:val="auto"/>
          <w:sz w:val="32"/>
          <w:szCs w:val="32"/>
        </w:rPr>
        <w:t>项目编号：GXCZ-C-22130174</w:t>
      </w:r>
    </w:p>
    <w:p>
      <w:pPr>
        <w:adjustRightInd w:val="0"/>
        <w:ind w:left="2564" w:leftChars="456" w:hanging="1606" w:hangingChars="500"/>
        <w:textAlignment w:val="baseline"/>
        <w:rPr>
          <w:rFonts w:ascii="宋体" w:hAnsi="宋体" w:cs="宋体"/>
          <w:b/>
          <w:bCs/>
          <w:color w:val="auto"/>
          <w:sz w:val="32"/>
          <w:szCs w:val="32"/>
          <w:lang w:val="zh-CN"/>
        </w:rPr>
      </w:pPr>
      <w:r>
        <w:rPr>
          <w:rFonts w:hint="eastAsia" w:ascii="宋体" w:hAnsi="宋体" w:cs="宋体"/>
          <w:b/>
          <w:bCs/>
          <w:color w:val="auto"/>
          <w:sz w:val="32"/>
          <w:szCs w:val="32"/>
        </w:rPr>
        <w:t>项目名称：华中农业大学校园卡系统核心网络设备购置项目</w:t>
      </w:r>
    </w:p>
    <w:p>
      <w:pPr>
        <w:autoSpaceDE w:val="0"/>
        <w:autoSpaceDN w:val="0"/>
        <w:adjustRightInd w:val="0"/>
        <w:snapToGrid w:val="0"/>
        <w:spacing w:after="156" w:afterLines="50"/>
        <w:jc w:val="center"/>
        <w:rPr>
          <w:rFonts w:ascii="宋体" w:hAnsi="宋体" w:cs="宋体"/>
          <w:color w:val="auto"/>
          <w:kern w:val="0"/>
          <w:sz w:val="32"/>
          <w:szCs w:val="32"/>
        </w:rPr>
      </w:pPr>
    </w:p>
    <w:p>
      <w:pPr>
        <w:autoSpaceDE w:val="0"/>
        <w:autoSpaceDN w:val="0"/>
        <w:adjustRightInd w:val="0"/>
        <w:snapToGrid w:val="0"/>
        <w:spacing w:after="156" w:afterLines="50"/>
        <w:rPr>
          <w:rFonts w:ascii="宋体" w:hAnsi="宋体" w:cs="宋体"/>
          <w:color w:val="auto"/>
          <w:kern w:val="0"/>
          <w:sz w:val="32"/>
          <w:szCs w:val="32"/>
        </w:rPr>
      </w:pPr>
    </w:p>
    <w:p>
      <w:pPr>
        <w:autoSpaceDE w:val="0"/>
        <w:autoSpaceDN w:val="0"/>
        <w:adjustRightInd w:val="0"/>
        <w:snapToGrid w:val="0"/>
        <w:spacing w:after="156" w:afterLines="50"/>
        <w:jc w:val="center"/>
        <w:rPr>
          <w:rFonts w:ascii="宋体" w:hAnsi="宋体" w:cs="宋体"/>
          <w:color w:val="auto"/>
          <w:kern w:val="0"/>
          <w:sz w:val="32"/>
          <w:szCs w:val="32"/>
        </w:rPr>
      </w:pPr>
    </w:p>
    <w:tbl>
      <w:tblPr>
        <w:tblStyle w:val="74"/>
        <w:tblW w:w="7474" w:type="dxa"/>
        <w:jc w:val="center"/>
        <w:tblLayout w:type="fixed"/>
        <w:tblCellMar>
          <w:top w:w="0" w:type="dxa"/>
          <w:left w:w="108" w:type="dxa"/>
          <w:bottom w:w="0" w:type="dxa"/>
          <w:right w:w="108" w:type="dxa"/>
        </w:tblCellMar>
      </w:tblPr>
      <w:tblGrid>
        <w:gridCol w:w="2660"/>
        <w:gridCol w:w="4814"/>
      </w:tblGrid>
      <w:tr>
        <w:tblPrEx>
          <w:tblCellMar>
            <w:top w:w="0" w:type="dxa"/>
            <w:left w:w="108" w:type="dxa"/>
            <w:bottom w:w="0" w:type="dxa"/>
            <w:right w:w="108" w:type="dxa"/>
          </w:tblCellMar>
        </w:tblPrEx>
        <w:trPr>
          <w:jc w:val="center"/>
        </w:trPr>
        <w:tc>
          <w:tcPr>
            <w:tcW w:w="2660" w:type="dxa"/>
          </w:tcPr>
          <w:p>
            <w:pPr>
              <w:autoSpaceDE w:val="0"/>
              <w:autoSpaceDN w:val="0"/>
              <w:adjustRightInd w:val="0"/>
              <w:snapToGrid w:val="0"/>
              <w:spacing w:after="156" w:afterLines="50"/>
              <w:jc w:val="center"/>
              <w:rPr>
                <w:rFonts w:ascii="宋体" w:hAnsi="宋体" w:cs="宋体"/>
                <w:color w:val="auto"/>
                <w:kern w:val="0"/>
                <w:sz w:val="32"/>
                <w:szCs w:val="32"/>
              </w:rPr>
            </w:pPr>
            <w:r>
              <w:rPr>
                <w:rFonts w:hint="eastAsia" w:ascii="宋体" w:hAnsi="宋体" w:cs="宋体"/>
                <w:color w:val="auto"/>
                <w:kern w:val="0"/>
                <w:sz w:val="32"/>
                <w:szCs w:val="32"/>
              </w:rPr>
              <w:t>采   购   人：</w:t>
            </w:r>
          </w:p>
        </w:tc>
        <w:tc>
          <w:tcPr>
            <w:tcW w:w="4814" w:type="dxa"/>
          </w:tcPr>
          <w:p>
            <w:pPr>
              <w:autoSpaceDE w:val="0"/>
              <w:autoSpaceDN w:val="0"/>
              <w:adjustRightInd w:val="0"/>
              <w:snapToGrid w:val="0"/>
              <w:spacing w:after="156" w:afterLines="50"/>
              <w:jc w:val="left"/>
              <w:rPr>
                <w:rFonts w:ascii="宋体" w:hAnsi="宋体" w:cs="宋体"/>
                <w:color w:val="auto"/>
                <w:kern w:val="0"/>
                <w:sz w:val="32"/>
                <w:szCs w:val="32"/>
              </w:rPr>
            </w:pPr>
            <w:r>
              <w:rPr>
                <w:rFonts w:hint="eastAsia" w:ascii="宋体" w:hAnsi="宋体" w:cs="宋体"/>
                <w:color w:val="auto"/>
                <w:kern w:val="0"/>
                <w:sz w:val="32"/>
                <w:szCs w:val="32"/>
                <w:lang w:val="zh-CN"/>
              </w:rPr>
              <w:t>华中农业大学</w:t>
            </w:r>
          </w:p>
        </w:tc>
      </w:tr>
      <w:tr>
        <w:tblPrEx>
          <w:tblCellMar>
            <w:top w:w="0" w:type="dxa"/>
            <w:left w:w="108" w:type="dxa"/>
            <w:bottom w:w="0" w:type="dxa"/>
            <w:right w:w="108" w:type="dxa"/>
          </w:tblCellMar>
        </w:tblPrEx>
        <w:trPr>
          <w:jc w:val="center"/>
        </w:trPr>
        <w:tc>
          <w:tcPr>
            <w:tcW w:w="2660" w:type="dxa"/>
          </w:tcPr>
          <w:p>
            <w:pPr>
              <w:autoSpaceDE w:val="0"/>
              <w:autoSpaceDN w:val="0"/>
              <w:adjustRightInd w:val="0"/>
              <w:snapToGrid w:val="0"/>
              <w:spacing w:after="156" w:afterLines="50"/>
              <w:jc w:val="center"/>
              <w:rPr>
                <w:rFonts w:ascii="宋体" w:hAnsi="宋体" w:cs="宋体"/>
                <w:color w:val="auto"/>
                <w:kern w:val="0"/>
                <w:sz w:val="32"/>
                <w:szCs w:val="32"/>
              </w:rPr>
            </w:pPr>
            <w:r>
              <w:rPr>
                <w:rFonts w:hint="eastAsia" w:ascii="宋体" w:hAnsi="宋体" w:cs="宋体"/>
                <w:color w:val="auto"/>
                <w:kern w:val="0"/>
                <w:sz w:val="32"/>
                <w:szCs w:val="32"/>
              </w:rPr>
              <w:t>采购代理机构：</w:t>
            </w:r>
          </w:p>
        </w:tc>
        <w:tc>
          <w:tcPr>
            <w:tcW w:w="4814" w:type="dxa"/>
          </w:tcPr>
          <w:p>
            <w:pPr>
              <w:autoSpaceDE w:val="0"/>
              <w:autoSpaceDN w:val="0"/>
              <w:adjustRightInd w:val="0"/>
              <w:snapToGrid w:val="0"/>
              <w:spacing w:after="156" w:afterLines="50"/>
              <w:jc w:val="left"/>
              <w:rPr>
                <w:rFonts w:ascii="宋体" w:hAnsi="宋体" w:cs="宋体"/>
                <w:color w:val="auto"/>
                <w:kern w:val="0"/>
                <w:sz w:val="32"/>
                <w:szCs w:val="32"/>
              </w:rPr>
            </w:pPr>
            <w:r>
              <w:rPr>
                <w:rFonts w:hint="eastAsia" w:ascii="宋体" w:hAnsi="宋体" w:cs="宋体"/>
                <w:color w:val="auto"/>
                <w:kern w:val="0"/>
                <w:sz w:val="32"/>
                <w:szCs w:val="32"/>
              </w:rPr>
              <w:t>国信招标集团股份有限公司</w:t>
            </w:r>
          </w:p>
        </w:tc>
      </w:tr>
    </w:tbl>
    <w:p>
      <w:pPr>
        <w:autoSpaceDE w:val="0"/>
        <w:autoSpaceDN w:val="0"/>
        <w:adjustRightInd w:val="0"/>
        <w:snapToGrid w:val="0"/>
        <w:spacing w:after="156" w:afterLines="50"/>
        <w:jc w:val="center"/>
        <w:rPr>
          <w:rFonts w:ascii="宋体" w:hAnsi="宋体" w:cs="宋体"/>
          <w:color w:val="auto"/>
          <w:kern w:val="0"/>
          <w:sz w:val="32"/>
          <w:szCs w:val="32"/>
        </w:rPr>
      </w:pPr>
    </w:p>
    <w:p>
      <w:pPr>
        <w:autoSpaceDE w:val="0"/>
        <w:autoSpaceDN w:val="0"/>
        <w:adjustRightInd w:val="0"/>
        <w:snapToGrid w:val="0"/>
        <w:spacing w:after="156" w:afterLines="50"/>
        <w:jc w:val="center"/>
        <w:rPr>
          <w:rFonts w:ascii="宋体" w:hAnsi="宋体" w:cs="宋体"/>
          <w:color w:val="auto"/>
          <w:kern w:val="0"/>
          <w:sz w:val="32"/>
          <w:szCs w:val="32"/>
        </w:rPr>
      </w:pPr>
      <w:r>
        <w:rPr>
          <w:rFonts w:hint="eastAsia" w:ascii="宋体" w:hAnsi="宋体" w:cs="宋体"/>
          <w:color w:val="auto"/>
          <w:kern w:val="0"/>
          <w:sz w:val="32"/>
          <w:szCs w:val="32"/>
        </w:rPr>
        <w:t>二〇二二年六月</w:t>
      </w:r>
    </w:p>
    <w:p>
      <w:pPr>
        <w:widowControl/>
        <w:jc w:val="left"/>
        <w:rPr>
          <w:rFonts w:ascii="宋体" w:hAnsi="宋体" w:cs="宋体"/>
          <w:color w:val="auto"/>
          <w:kern w:val="0"/>
          <w:sz w:val="32"/>
          <w:szCs w:val="32"/>
        </w:rPr>
      </w:pPr>
      <w:r>
        <w:rPr>
          <w:rFonts w:hint="eastAsia" w:ascii="宋体" w:hAnsi="宋体" w:cs="宋体"/>
          <w:color w:val="auto"/>
          <w:kern w:val="0"/>
          <w:sz w:val="32"/>
          <w:szCs w:val="32"/>
        </w:rPr>
        <w:br w:type="page"/>
      </w:r>
    </w:p>
    <w:p>
      <w:pPr>
        <w:autoSpaceDE w:val="0"/>
        <w:autoSpaceDN w:val="0"/>
        <w:adjustRightInd w:val="0"/>
        <w:snapToGrid w:val="0"/>
        <w:spacing w:after="156" w:afterLines="50"/>
        <w:jc w:val="center"/>
        <w:outlineLvl w:val="0"/>
        <w:rPr>
          <w:rFonts w:ascii="宋体" w:hAnsi="宋体" w:cs="宋体"/>
          <w:color w:val="auto"/>
          <w:kern w:val="0"/>
          <w:szCs w:val="21"/>
        </w:rPr>
      </w:pPr>
    </w:p>
    <w:p>
      <w:pPr>
        <w:autoSpaceDE w:val="0"/>
        <w:autoSpaceDN w:val="0"/>
        <w:adjustRightInd w:val="0"/>
        <w:snapToGrid w:val="0"/>
        <w:spacing w:after="156" w:afterLines="50" w:line="480" w:lineRule="auto"/>
        <w:jc w:val="center"/>
        <w:outlineLvl w:val="0"/>
        <w:rPr>
          <w:rFonts w:ascii="宋体" w:hAnsi="宋体" w:cs="宋体"/>
          <w:b/>
          <w:bCs/>
          <w:color w:val="auto"/>
          <w:kern w:val="0"/>
          <w:sz w:val="36"/>
          <w:szCs w:val="36"/>
        </w:rPr>
      </w:pPr>
      <w:bookmarkStart w:id="6" w:name="_Toc26662"/>
      <w:bookmarkStart w:id="7" w:name="_Toc17092"/>
      <w:r>
        <w:rPr>
          <w:rFonts w:hint="eastAsia" w:ascii="宋体" w:hAnsi="宋体" w:cs="宋体"/>
          <w:b/>
          <w:bCs/>
          <w:color w:val="auto"/>
          <w:kern w:val="0"/>
          <w:sz w:val="36"/>
          <w:szCs w:val="36"/>
        </w:rPr>
        <w:t>目 录</w:t>
      </w:r>
      <w:bookmarkEnd w:id="6"/>
      <w:bookmarkEnd w:id="7"/>
    </w:p>
    <w:p>
      <w:pPr>
        <w:pStyle w:val="51"/>
        <w:tabs>
          <w:tab w:val="right" w:leader="dot" w:pos="7780"/>
          <w:tab w:val="clear" w:pos="8778"/>
        </w:tabs>
        <w:rPr>
          <w:rFonts w:ascii="宋体" w:hAnsi="宋体" w:cs="宋体"/>
          <w:color w:val="auto"/>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TOC \o "1-2" \h \u </w:instrText>
      </w:r>
      <w:r>
        <w:rPr>
          <w:rFonts w:hint="eastAsia" w:ascii="宋体" w:hAnsi="宋体" w:cs="宋体"/>
          <w:color w:val="auto"/>
          <w:sz w:val="24"/>
          <w:szCs w:val="24"/>
        </w:rPr>
        <w:fldChar w:fldCharType="separate"/>
      </w:r>
    </w:p>
    <w:p>
      <w:pPr>
        <w:pStyle w:val="51"/>
        <w:tabs>
          <w:tab w:val="right" w:leader="dot" w:pos="7780"/>
          <w:tab w:val="clear" w:pos="8778"/>
        </w:tabs>
        <w:spacing w:line="600" w:lineRule="auto"/>
        <w:rPr>
          <w:rFonts w:ascii="宋体" w:hAnsi="宋体" w:cs="宋体"/>
          <w:color w:val="auto"/>
          <w:sz w:val="24"/>
          <w:szCs w:val="24"/>
        </w:rPr>
      </w:pPr>
      <w:r>
        <w:rPr>
          <w:color w:val="auto"/>
        </w:rPr>
        <w:fldChar w:fldCharType="begin"/>
      </w:r>
      <w:r>
        <w:rPr>
          <w:color w:val="auto"/>
        </w:rPr>
        <w:instrText xml:space="preserve"> HYPERLINK \l "_Toc23541" </w:instrText>
      </w:r>
      <w:r>
        <w:rPr>
          <w:color w:val="auto"/>
        </w:rPr>
        <w:fldChar w:fldCharType="separate"/>
      </w:r>
      <w:r>
        <w:rPr>
          <w:rFonts w:hint="eastAsia" w:ascii="宋体" w:hAnsi="宋体" w:cs="宋体"/>
          <w:color w:val="auto"/>
          <w:sz w:val="24"/>
          <w:szCs w:val="22"/>
        </w:rPr>
        <w:t>第一章  竞争性磋商公告</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_Toc23541 </w:instrText>
      </w:r>
      <w:r>
        <w:rPr>
          <w:rFonts w:hint="eastAsia" w:ascii="宋体" w:hAnsi="宋体" w:cs="宋体"/>
          <w:color w:val="auto"/>
          <w:sz w:val="24"/>
          <w:szCs w:val="24"/>
        </w:rPr>
        <w:fldChar w:fldCharType="separate"/>
      </w:r>
      <w:r>
        <w:rPr>
          <w:rFonts w:hint="eastAsia" w:ascii="宋体" w:hAnsi="宋体" w:cs="宋体"/>
          <w:color w:val="auto"/>
          <w:sz w:val="24"/>
          <w:szCs w:val="24"/>
        </w:rPr>
        <w:t>3</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51"/>
        <w:tabs>
          <w:tab w:val="right" w:leader="dot" w:pos="7780"/>
          <w:tab w:val="clear" w:pos="8778"/>
        </w:tabs>
        <w:spacing w:line="600" w:lineRule="auto"/>
        <w:rPr>
          <w:rFonts w:ascii="宋体" w:hAnsi="宋体" w:cs="宋体"/>
          <w:color w:val="auto"/>
          <w:sz w:val="24"/>
          <w:szCs w:val="24"/>
        </w:rPr>
      </w:pPr>
      <w:r>
        <w:rPr>
          <w:color w:val="auto"/>
        </w:rPr>
        <w:fldChar w:fldCharType="begin"/>
      </w:r>
      <w:r>
        <w:rPr>
          <w:color w:val="auto"/>
        </w:rPr>
        <w:instrText xml:space="preserve"> HYPERLINK \l "_Toc4332" </w:instrText>
      </w:r>
      <w:r>
        <w:rPr>
          <w:color w:val="auto"/>
        </w:rPr>
        <w:fldChar w:fldCharType="separate"/>
      </w:r>
      <w:r>
        <w:rPr>
          <w:rFonts w:hint="eastAsia" w:ascii="宋体" w:hAnsi="宋体" w:cs="宋体"/>
          <w:color w:val="auto"/>
          <w:sz w:val="24"/>
          <w:szCs w:val="22"/>
        </w:rPr>
        <w:t>第二章  供应商须知</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_Toc4332 </w:instrText>
      </w:r>
      <w:r>
        <w:rPr>
          <w:rFonts w:hint="eastAsia" w:ascii="宋体" w:hAnsi="宋体" w:cs="宋体"/>
          <w:color w:val="auto"/>
          <w:sz w:val="24"/>
          <w:szCs w:val="24"/>
        </w:rPr>
        <w:fldChar w:fldCharType="separate"/>
      </w:r>
      <w:r>
        <w:rPr>
          <w:rFonts w:hint="eastAsia" w:ascii="宋体" w:hAnsi="宋体" w:cs="宋体"/>
          <w:color w:val="auto"/>
          <w:sz w:val="24"/>
          <w:szCs w:val="24"/>
        </w:rPr>
        <w:t>6</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51"/>
        <w:tabs>
          <w:tab w:val="right" w:leader="dot" w:pos="7780"/>
          <w:tab w:val="clear" w:pos="8778"/>
        </w:tabs>
        <w:spacing w:line="600" w:lineRule="auto"/>
        <w:rPr>
          <w:rFonts w:ascii="宋体" w:hAnsi="宋体" w:cs="宋体"/>
          <w:color w:val="auto"/>
          <w:sz w:val="24"/>
          <w:szCs w:val="24"/>
        </w:rPr>
      </w:pPr>
      <w:r>
        <w:rPr>
          <w:color w:val="auto"/>
        </w:rPr>
        <w:fldChar w:fldCharType="begin"/>
      </w:r>
      <w:r>
        <w:rPr>
          <w:color w:val="auto"/>
        </w:rPr>
        <w:instrText xml:space="preserve"> HYPERLINK \l "_Toc7207" </w:instrText>
      </w:r>
      <w:r>
        <w:rPr>
          <w:color w:val="auto"/>
        </w:rPr>
        <w:fldChar w:fldCharType="separate"/>
      </w:r>
      <w:r>
        <w:rPr>
          <w:rFonts w:hint="eastAsia" w:ascii="宋体" w:hAnsi="宋体" w:cs="宋体"/>
          <w:color w:val="auto"/>
          <w:sz w:val="24"/>
          <w:szCs w:val="22"/>
        </w:rPr>
        <w:t>第三章  评审办法和标准</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_Toc7207 </w:instrText>
      </w:r>
      <w:r>
        <w:rPr>
          <w:rFonts w:hint="eastAsia" w:ascii="宋体" w:hAnsi="宋体" w:cs="宋体"/>
          <w:color w:val="auto"/>
          <w:sz w:val="24"/>
          <w:szCs w:val="24"/>
        </w:rPr>
        <w:fldChar w:fldCharType="separate"/>
      </w:r>
      <w:r>
        <w:rPr>
          <w:rFonts w:hint="eastAsia" w:ascii="宋体" w:hAnsi="宋体" w:cs="宋体"/>
          <w:color w:val="auto"/>
          <w:sz w:val="24"/>
          <w:szCs w:val="24"/>
        </w:rPr>
        <w:t>22</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51"/>
        <w:tabs>
          <w:tab w:val="right" w:leader="dot" w:pos="7780"/>
          <w:tab w:val="clear" w:pos="8778"/>
        </w:tabs>
        <w:spacing w:line="600" w:lineRule="auto"/>
        <w:rPr>
          <w:rFonts w:ascii="宋体" w:hAnsi="宋体" w:cs="宋体"/>
          <w:color w:val="auto"/>
          <w:sz w:val="24"/>
          <w:szCs w:val="24"/>
        </w:rPr>
      </w:pPr>
      <w:r>
        <w:rPr>
          <w:color w:val="auto"/>
        </w:rPr>
        <w:fldChar w:fldCharType="begin"/>
      </w:r>
      <w:r>
        <w:rPr>
          <w:color w:val="auto"/>
        </w:rPr>
        <w:instrText xml:space="preserve"> HYPERLINK \l "_Toc16276" </w:instrText>
      </w:r>
      <w:r>
        <w:rPr>
          <w:color w:val="auto"/>
        </w:rPr>
        <w:fldChar w:fldCharType="separate"/>
      </w:r>
      <w:r>
        <w:rPr>
          <w:rFonts w:hint="eastAsia" w:ascii="宋体" w:hAnsi="宋体" w:cs="宋体"/>
          <w:color w:val="auto"/>
          <w:sz w:val="24"/>
          <w:szCs w:val="22"/>
        </w:rPr>
        <w:t>第四章  合同条款及格式</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_Toc16276 </w:instrText>
      </w:r>
      <w:r>
        <w:rPr>
          <w:rFonts w:hint="eastAsia" w:ascii="宋体" w:hAnsi="宋体" w:cs="宋体"/>
          <w:color w:val="auto"/>
          <w:sz w:val="24"/>
          <w:szCs w:val="24"/>
        </w:rPr>
        <w:fldChar w:fldCharType="separate"/>
      </w:r>
      <w:r>
        <w:rPr>
          <w:rFonts w:hint="eastAsia" w:ascii="宋体" w:hAnsi="宋体" w:cs="宋体"/>
          <w:color w:val="auto"/>
          <w:sz w:val="24"/>
          <w:szCs w:val="24"/>
        </w:rPr>
        <w:t>30</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51"/>
        <w:tabs>
          <w:tab w:val="right" w:leader="dot" w:pos="7780"/>
          <w:tab w:val="clear" w:pos="8778"/>
        </w:tabs>
        <w:spacing w:line="600" w:lineRule="auto"/>
        <w:rPr>
          <w:rFonts w:ascii="宋体" w:hAnsi="宋体" w:cs="宋体"/>
          <w:color w:val="auto"/>
          <w:sz w:val="24"/>
          <w:szCs w:val="24"/>
        </w:rPr>
      </w:pPr>
      <w:r>
        <w:rPr>
          <w:color w:val="auto"/>
        </w:rPr>
        <w:fldChar w:fldCharType="begin"/>
      </w:r>
      <w:r>
        <w:rPr>
          <w:color w:val="auto"/>
        </w:rPr>
        <w:instrText xml:space="preserve"> HYPERLINK \l "_Toc28138" </w:instrText>
      </w:r>
      <w:r>
        <w:rPr>
          <w:color w:val="auto"/>
        </w:rPr>
        <w:fldChar w:fldCharType="separate"/>
      </w:r>
      <w:r>
        <w:rPr>
          <w:rFonts w:hint="eastAsia" w:ascii="宋体" w:hAnsi="宋体" w:cs="宋体"/>
          <w:color w:val="auto"/>
          <w:sz w:val="24"/>
          <w:szCs w:val="22"/>
        </w:rPr>
        <w:t>第五章  采购项目需求及技术要求</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_Toc28138 </w:instrText>
      </w:r>
      <w:r>
        <w:rPr>
          <w:rFonts w:hint="eastAsia" w:ascii="宋体" w:hAnsi="宋体" w:cs="宋体"/>
          <w:color w:val="auto"/>
          <w:sz w:val="24"/>
          <w:szCs w:val="24"/>
        </w:rPr>
        <w:fldChar w:fldCharType="separate"/>
      </w:r>
      <w:r>
        <w:rPr>
          <w:rFonts w:hint="eastAsia" w:ascii="宋体" w:hAnsi="宋体" w:cs="宋体"/>
          <w:color w:val="auto"/>
          <w:sz w:val="24"/>
          <w:szCs w:val="24"/>
        </w:rPr>
        <w:t>40</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51"/>
        <w:tabs>
          <w:tab w:val="right" w:leader="dot" w:pos="7780"/>
          <w:tab w:val="clear" w:pos="8778"/>
        </w:tabs>
        <w:spacing w:line="600" w:lineRule="auto"/>
        <w:rPr>
          <w:rFonts w:ascii="宋体" w:hAnsi="宋体" w:cs="宋体"/>
          <w:b w:val="0"/>
          <w:bCs w:val="0"/>
          <w:color w:val="auto"/>
          <w:sz w:val="21"/>
          <w:szCs w:val="21"/>
        </w:rPr>
      </w:pPr>
      <w:r>
        <w:rPr>
          <w:color w:val="auto"/>
        </w:rPr>
        <w:fldChar w:fldCharType="begin"/>
      </w:r>
      <w:r>
        <w:rPr>
          <w:color w:val="auto"/>
        </w:rPr>
        <w:instrText xml:space="preserve"> HYPERLINK \l "_Toc10970" </w:instrText>
      </w:r>
      <w:r>
        <w:rPr>
          <w:color w:val="auto"/>
        </w:rPr>
        <w:fldChar w:fldCharType="separate"/>
      </w:r>
      <w:r>
        <w:rPr>
          <w:rFonts w:hint="eastAsia" w:ascii="宋体" w:hAnsi="宋体" w:cs="宋体"/>
          <w:color w:val="auto"/>
          <w:sz w:val="24"/>
          <w:szCs w:val="22"/>
        </w:rPr>
        <w:t>第六章  响应文件格式</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_Toc10970 </w:instrText>
      </w:r>
      <w:r>
        <w:rPr>
          <w:rFonts w:hint="eastAsia" w:ascii="宋体" w:hAnsi="宋体" w:cs="宋体"/>
          <w:color w:val="auto"/>
          <w:sz w:val="24"/>
          <w:szCs w:val="24"/>
        </w:rPr>
        <w:fldChar w:fldCharType="separate"/>
      </w:r>
      <w:r>
        <w:rPr>
          <w:rFonts w:hint="eastAsia" w:ascii="宋体" w:hAnsi="宋体" w:cs="宋体"/>
          <w:color w:val="auto"/>
          <w:sz w:val="24"/>
          <w:szCs w:val="24"/>
        </w:rPr>
        <w:t>44</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63"/>
        <w:tabs>
          <w:tab w:val="right" w:leader="dot" w:pos="9412"/>
          <w:tab w:val="clear" w:pos="8778"/>
        </w:tabs>
        <w:rPr>
          <w:rFonts w:ascii="宋体" w:hAnsi="宋体" w:cs="宋体"/>
          <w:color w:val="auto"/>
        </w:rPr>
      </w:pPr>
    </w:p>
    <w:p>
      <w:pPr>
        <w:autoSpaceDE w:val="0"/>
        <w:autoSpaceDN w:val="0"/>
        <w:adjustRightInd w:val="0"/>
        <w:snapToGrid w:val="0"/>
        <w:spacing w:after="156" w:afterLines="50" w:line="600" w:lineRule="auto"/>
        <w:jc w:val="center"/>
        <w:outlineLvl w:val="0"/>
        <w:rPr>
          <w:rFonts w:ascii="宋体" w:hAnsi="宋体" w:cs="宋体"/>
          <w:color w:val="auto"/>
          <w:kern w:val="0"/>
          <w:sz w:val="32"/>
          <w:szCs w:val="32"/>
        </w:rPr>
        <w:sectPr>
          <w:footerReference r:id="rId3" w:type="default"/>
          <w:pgSz w:w="11906" w:h="16838"/>
          <w:pgMar w:top="1440" w:right="1803" w:bottom="1440" w:left="1803" w:header="851" w:footer="992" w:gutter="0"/>
          <w:cols w:space="720" w:num="1"/>
          <w:docGrid w:type="lines" w:linePitch="312" w:charSpace="0"/>
        </w:sectPr>
      </w:pPr>
      <w:r>
        <w:rPr>
          <w:rFonts w:hint="eastAsia" w:ascii="宋体" w:hAnsi="宋体" w:cs="宋体"/>
          <w:color w:val="auto"/>
          <w:sz w:val="24"/>
        </w:rPr>
        <w:fldChar w:fldCharType="end"/>
      </w:r>
    </w:p>
    <w:p>
      <w:pPr>
        <w:autoSpaceDE w:val="0"/>
        <w:autoSpaceDN w:val="0"/>
        <w:adjustRightInd w:val="0"/>
        <w:snapToGrid w:val="0"/>
        <w:spacing w:after="156" w:afterLines="50"/>
        <w:jc w:val="center"/>
        <w:outlineLvl w:val="0"/>
        <w:rPr>
          <w:rFonts w:ascii="宋体" w:hAnsi="宋体" w:cs="宋体"/>
          <w:color w:val="auto"/>
          <w:kern w:val="0"/>
          <w:sz w:val="32"/>
          <w:szCs w:val="32"/>
        </w:rPr>
      </w:pPr>
      <w:bookmarkStart w:id="8" w:name="_Toc23541"/>
      <w:r>
        <w:rPr>
          <w:rFonts w:hint="eastAsia" w:ascii="宋体" w:hAnsi="宋体" w:cs="宋体"/>
          <w:color w:val="auto"/>
          <w:kern w:val="0"/>
          <w:sz w:val="32"/>
          <w:szCs w:val="32"/>
        </w:rPr>
        <w:t xml:space="preserve">第一章  </w:t>
      </w:r>
      <w:bookmarkEnd w:id="0"/>
      <w:bookmarkEnd w:id="1"/>
      <w:bookmarkEnd w:id="2"/>
      <w:bookmarkEnd w:id="3"/>
      <w:bookmarkEnd w:id="4"/>
      <w:bookmarkEnd w:id="8"/>
      <w:r>
        <w:rPr>
          <w:rFonts w:hint="eastAsia" w:ascii="宋体" w:hAnsi="宋体" w:cs="宋体"/>
          <w:color w:val="auto"/>
          <w:kern w:val="0"/>
          <w:sz w:val="32"/>
          <w:szCs w:val="32"/>
        </w:rPr>
        <w:t>竞争性磋商公告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rPr>
      </w:pPr>
      <w:bookmarkStart w:id="9" w:name="_Toc28359011"/>
      <w:bookmarkStart w:id="10" w:name="_Toc35393797"/>
      <w:r>
        <w:rPr>
          <w:rFonts w:hint="eastAsia" w:ascii="宋体" w:hAnsi="宋体" w:cs="宋体"/>
          <w:color w:val="auto"/>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rPr>
      </w:pPr>
      <w:r>
        <w:rPr>
          <w:rFonts w:hint="eastAsia" w:ascii="宋体" w:hAnsi="宋体" w:cs="宋体"/>
          <w:color w:val="auto"/>
          <w:szCs w:val="21"/>
          <w:u w:val="single"/>
          <w:lang w:val="zh-CN"/>
        </w:rPr>
        <w:t>华中农业大学校园卡系统核心网络设备购置项目</w:t>
      </w:r>
      <w:r>
        <w:rPr>
          <w:rFonts w:hint="eastAsia" w:ascii="宋体" w:hAnsi="宋体" w:cs="宋体"/>
          <w:color w:val="auto"/>
          <w:szCs w:val="21"/>
        </w:rPr>
        <w:t>采购项目的潜在供应商应在</w:t>
      </w:r>
      <w:r>
        <w:rPr>
          <w:rFonts w:hint="eastAsia" w:ascii="宋体" w:hAnsi="宋体" w:cs="宋体"/>
          <w:color w:val="auto"/>
          <w:szCs w:val="21"/>
          <w:u w:val="single"/>
        </w:rPr>
        <w:t xml:space="preserve"> 湖北省武汉市洪山区徐东大</w:t>
      </w:r>
      <w:r>
        <w:rPr>
          <w:rFonts w:hint="eastAsia" w:ascii="宋体" w:hAnsi="宋体" w:cs="宋体"/>
          <w:color w:val="auto"/>
          <w:szCs w:val="21"/>
          <w:u w:val="single"/>
        </w:rPr>
        <w:t>街97号龙潭SOMO A座16楼国信招标集团股份有限公司湖北分公司</w:t>
      </w:r>
      <w:r>
        <w:rPr>
          <w:rFonts w:hint="eastAsia" w:ascii="宋体" w:hAnsi="宋体" w:cs="宋体"/>
          <w:color w:val="auto"/>
          <w:szCs w:val="21"/>
        </w:rPr>
        <w:t>获取采购文件，并于</w:t>
      </w:r>
      <w:r>
        <w:rPr>
          <w:rFonts w:hint="eastAsia" w:ascii="宋体" w:hAnsi="宋体" w:cs="宋体"/>
          <w:color w:val="auto"/>
          <w:szCs w:val="21"/>
          <w:u w:val="single"/>
        </w:rPr>
        <w:t xml:space="preserve"> 2022</w:t>
      </w:r>
      <w:r>
        <w:rPr>
          <w:rFonts w:hint="eastAsia" w:ascii="宋体" w:hAnsi="宋体" w:cs="宋体"/>
          <w:bCs/>
          <w:color w:val="auto"/>
          <w:szCs w:val="21"/>
          <w:u w:val="single"/>
        </w:rPr>
        <w:t>年</w:t>
      </w:r>
      <w:r>
        <w:rPr>
          <w:rFonts w:hint="eastAsia" w:ascii="宋体" w:hAnsi="宋体" w:cs="宋体"/>
          <w:bCs/>
          <w:color w:val="auto"/>
          <w:szCs w:val="21"/>
          <w:u w:val="single"/>
          <w:lang w:val="en-US" w:eastAsia="zh-CN"/>
        </w:rPr>
        <w:t>7</w:t>
      </w:r>
      <w:r>
        <w:rPr>
          <w:rFonts w:hint="eastAsia" w:ascii="宋体" w:hAnsi="宋体" w:cs="宋体"/>
          <w:bCs/>
          <w:color w:val="auto"/>
          <w:szCs w:val="21"/>
          <w:u w:val="single"/>
        </w:rPr>
        <w:t>月</w:t>
      </w:r>
      <w:r>
        <w:rPr>
          <w:rFonts w:hint="eastAsia" w:ascii="宋体" w:hAnsi="宋体" w:cs="宋体"/>
          <w:bCs/>
          <w:color w:val="auto"/>
          <w:szCs w:val="21"/>
          <w:u w:val="single"/>
          <w:lang w:val="en-US" w:eastAsia="zh-CN"/>
        </w:rPr>
        <w:t>6</w:t>
      </w:r>
      <w:r>
        <w:rPr>
          <w:rFonts w:hint="eastAsia" w:ascii="宋体" w:hAnsi="宋体" w:cs="宋体"/>
          <w:bCs/>
          <w:color w:val="auto"/>
          <w:szCs w:val="21"/>
          <w:u w:val="single"/>
        </w:rPr>
        <w:t>日</w:t>
      </w:r>
      <w:r>
        <w:rPr>
          <w:rFonts w:hint="eastAsia" w:ascii="宋体" w:hAnsi="宋体" w:cs="宋体"/>
          <w:bCs/>
          <w:color w:val="auto"/>
          <w:szCs w:val="21"/>
          <w:u w:val="single"/>
          <w:lang w:val="en-US" w:eastAsia="zh-CN"/>
        </w:rPr>
        <w:t>14</w:t>
      </w:r>
      <w:r>
        <w:rPr>
          <w:rFonts w:hint="eastAsia" w:ascii="宋体" w:hAnsi="宋体" w:cs="宋体"/>
          <w:bCs/>
          <w:color w:val="auto"/>
          <w:szCs w:val="21"/>
          <w:u w:val="single"/>
        </w:rPr>
        <w:t>点30分</w:t>
      </w:r>
      <w:r>
        <w:rPr>
          <w:rFonts w:hint="eastAsia" w:ascii="宋体" w:hAnsi="宋体" w:cs="宋体"/>
          <w:bCs/>
          <w:color w:val="auto"/>
          <w:szCs w:val="21"/>
        </w:rPr>
        <w:t>（北京时间）前提交响应文件</w:t>
      </w:r>
      <w:r>
        <w:rPr>
          <w:rFonts w:hint="eastAsia" w:ascii="宋体" w:hAnsi="宋体" w:cs="宋体"/>
          <w:color w:val="auto"/>
          <w:szCs w:val="21"/>
        </w:rPr>
        <w:t>。</w:t>
      </w:r>
    </w:p>
    <w:p>
      <w:pPr>
        <w:rPr>
          <w:rFonts w:ascii="宋体" w:hAnsi="宋体" w:cs="宋体"/>
          <w:color w:val="auto"/>
          <w:szCs w:val="21"/>
        </w:rPr>
      </w:pPr>
    </w:p>
    <w:p>
      <w:pPr>
        <w:pStyle w:val="5"/>
        <w:spacing w:line="360" w:lineRule="auto"/>
        <w:rPr>
          <w:rFonts w:ascii="宋体" w:hAnsi="宋体" w:eastAsia="宋体" w:cs="宋体"/>
          <w:bCs w:val="0"/>
          <w:color w:val="auto"/>
          <w:sz w:val="21"/>
          <w:szCs w:val="21"/>
        </w:rPr>
      </w:pPr>
      <w:bookmarkStart w:id="11" w:name="_Toc13349"/>
      <w:bookmarkStart w:id="12" w:name="_Toc30561"/>
      <w:bookmarkStart w:id="13" w:name="_Toc25206"/>
      <w:bookmarkStart w:id="14" w:name="_Toc31562"/>
      <w:r>
        <w:rPr>
          <w:rFonts w:hint="eastAsia" w:ascii="宋体" w:hAnsi="宋体" w:eastAsia="宋体" w:cs="宋体"/>
          <w:bCs w:val="0"/>
          <w:color w:val="auto"/>
          <w:sz w:val="21"/>
          <w:szCs w:val="21"/>
        </w:rPr>
        <w:t>一、项目基本情况</w:t>
      </w:r>
      <w:bookmarkEnd w:id="11"/>
      <w:bookmarkEnd w:id="12"/>
      <w:bookmarkEnd w:id="13"/>
      <w:bookmarkEnd w:id="14"/>
    </w:p>
    <w:p>
      <w:pPr>
        <w:spacing w:line="360" w:lineRule="auto"/>
        <w:ind w:firstLine="420" w:firstLineChars="200"/>
        <w:rPr>
          <w:rFonts w:ascii="宋体" w:hAnsi="宋体" w:cs="宋体"/>
          <w:color w:val="auto"/>
          <w:szCs w:val="21"/>
        </w:rPr>
      </w:pPr>
      <w:r>
        <w:rPr>
          <w:rFonts w:hint="eastAsia" w:ascii="宋体" w:hAnsi="宋体" w:cs="宋体"/>
          <w:color w:val="auto"/>
          <w:szCs w:val="21"/>
        </w:rPr>
        <w:t>项目编号：GXCZ-C-22130174</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项目名称：</w:t>
      </w:r>
      <w:r>
        <w:rPr>
          <w:rFonts w:hint="eastAsia" w:ascii="宋体" w:hAnsi="宋体" w:cs="宋体"/>
          <w:color w:val="auto"/>
          <w:kern w:val="0"/>
          <w:szCs w:val="21"/>
          <w:lang w:val="zh-CN"/>
        </w:rPr>
        <w:t>华中农业大学校园卡系统核心网络设备购置项目</w:t>
      </w:r>
    </w:p>
    <w:p>
      <w:pPr>
        <w:spacing w:line="360" w:lineRule="auto"/>
        <w:ind w:firstLine="420" w:firstLineChars="200"/>
        <w:rPr>
          <w:rFonts w:ascii="宋体" w:hAnsi="宋体" w:cs="宋体"/>
          <w:color w:val="auto"/>
          <w:szCs w:val="21"/>
        </w:rPr>
      </w:pPr>
      <w:r>
        <w:rPr>
          <w:rFonts w:hint="eastAsia" w:ascii="宋体" w:hAnsi="宋体" w:cs="宋体"/>
          <w:color w:val="auto"/>
          <w:szCs w:val="21"/>
        </w:rPr>
        <w:t>采购方式：竞争性磋商</w:t>
      </w:r>
    </w:p>
    <w:p>
      <w:pPr>
        <w:spacing w:line="360" w:lineRule="auto"/>
        <w:ind w:firstLine="420" w:firstLineChars="200"/>
        <w:rPr>
          <w:rFonts w:ascii="宋体" w:hAnsi="宋体" w:cs="宋体"/>
          <w:color w:val="auto"/>
          <w:szCs w:val="21"/>
        </w:rPr>
      </w:pPr>
      <w:r>
        <w:rPr>
          <w:rFonts w:hint="eastAsia" w:ascii="宋体" w:hAnsi="宋体" w:cs="宋体"/>
          <w:color w:val="auto"/>
          <w:szCs w:val="21"/>
        </w:rPr>
        <w:t>预算金额：50万元</w:t>
      </w:r>
    </w:p>
    <w:p>
      <w:pPr>
        <w:spacing w:line="360" w:lineRule="auto"/>
        <w:ind w:firstLine="420" w:firstLineChars="200"/>
        <w:rPr>
          <w:rFonts w:ascii="宋体" w:hAnsi="宋体" w:cs="宋体"/>
          <w:color w:val="auto"/>
          <w:szCs w:val="21"/>
        </w:rPr>
      </w:pPr>
      <w:r>
        <w:rPr>
          <w:rFonts w:hint="eastAsia" w:ascii="宋体" w:hAnsi="宋体" w:cs="宋体"/>
          <w:color w:val="auto"/>
          <w:szCs w:val="21"/>
        </w:rPr>
        <w:t>最高限价：50万元，供应商报价超过最高限价，其响应文件将被否决。</w:t>
      </w:r>
    </w:p>
    <w:p>
      <w:pPr>
        <w:spacing w:line="360" w:lineRule="auto"/>
        <w:ind w:firstLine="420" w:firstLineChars="200"/>
        <w:rPr>
          <w:rFonts w:ascii="宋体" w:hAnsi="宋体" w:cs="宋体"/>
          <w:color w:val="auto"/>
          <w:szCs w:val="21"/>
        </w:rPr>
      </w:pPr>
      <w:r>
        <w:rPr>
          <w:rFonts w:hint="eastAsia" w:ascii="宋体" w:hAnsi="宋体" w:cs="宋体"/>
          <w:color w:val="auto"/>
          <w:szCs w:val="21"/>
        </w:rPr>
        <w:t>采购需求：购置校园卡核心交换机2台。</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rPr>
        <w:t>合同履行期限：自合同签订之日起30日历天内完成所有供货、安装、系统整体调试及相关服务</w:t>
      </w:r>
      <w:r>
        <w:rPr>
          <w:rFonts w:hint="eastAsia" w:ascii="宋体" w:hAnsi="宋体" w:cs="宋体"/>
          <w:color w:val="auto"/>
          <w:szCs w:val="21"/>
          <w:highlight w:val="none"/>
        </w:rPr>
        <w:t>，即完成校园卡系统核心网络交钥匙工程。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服务/履约地点：采购人指定的项目现场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质量标准：合格，满足采购人需求。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本项目（是/否）接受进口产品：否</w:t>
      </w:r>
    </w:p>
    <w:p>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本项目（是/否）接受</w:t>
      </w:r>
      <w:r>
        <w:rPr>
          <w:rFonts w:hint="eastAsia" w:ascii="宋体" w:hAnsi="宋体" w:cs="宋体"/>
          <w:color w:val="auto"/>
          <w:szCs w:val="21"/>
          <w:highlight w:val="none"/>
        </w:rPr>
        <w:t>联合体投标：否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本项目（是/否）专门面向中小微企业：否</w:t>
      </w:r>
    </w:p>
    <w:p>
      <w:pPr>
        <w:spacing w:line="360" w:lineRule="auto"/>
        <w:ind w:firstLine="420" w:firstLineChars="200"/>
        <w:rPr>
          <w:rFonts w:ascii="宋体" w:hAnsi="宋体" w:cs="宋体"/>
          <w:color w:val="auto"/>
        </w:rPr>
      </w:pPr>
      <w:r>
        <w:rPr>
          <w:rFonts w:hint="eastAsia" w:ascii="宋体" w:hAnsi="宋体" w:cs="宋体"/>
          <w:color w:val="auto"/>
          <w:szCs w:val="21"/>
        </w:rPr>
        <w:t>本次采购共分1个标段。</w:t>
      </w:r>
    </w:p>
    <w:p>
      <w:pPr>
        <w:pStyle w:val="5"/>
        <w:spacing w:line="360" w:lineRule="auto"/>
        <w:rPr>
          <w:rFonts w:ascii="宋体" w:hAnsi="宋体" w:eastAsia="宋体" w:cs="宋体"/>
          <w:bCs w:val="0"/>
          <w:color w:val="auto"/>
          <w:sz w:val="21"/>
          <w:szCs w:val="21"/>
        </w:rPr>
      </w:pPr>
      <w:bookmarkStart w:id="15" w:name="_Toc12418"/>
      <w:bookmarkStart w:id="16" w:name="_Toc26588"/>
      <w:bookmarkStart w:id="17" w:name="_Toc22971"/>
      <w:bookmarkStart w:id="18" w:name="_Toc8099"/>
      <w:r>
        <w:rPr>
          <w:rFonts w:hint="eastAsia" w:ascii="宋体" w:hAnsi="宋体" w:eastAsia="宋体" w:cs="宋体"/>
          <w:bCs w:val="0"/>
          <w:color w:val="auto"/>
          <w:sz w:val="21"/>
          <w:szCs w:val="21"/>
        </w:rPr>
        <w:t>二、申请人的资格要求：</w:t>
      </w:r>
      <w:bookmarkEnd w:id="15"/>
      <w:bookmarkEnd w:id="16"/>
      <w:bookmarkEnd w:id="17"/>
      <w:bookmarkEnd w:id="18"/>
    </w:p>
    <w:p>
      <w:pPr>
        <w:spacing w:line="360" w:lineRule="auto"/>
        <w:ind w:firstLine="420" w:firstLineChars="200"/>
        <w:rPr>
          <w:rFonts w:ascii="宋体" w:hAnsi="宋体" w:cs="宋体"/>
          <w:color w:val="auto"/>
          <w:szCs w:val="21"/>
        </w:rPr>
      </w:pPr>
      <w:r>
        <w:rPr>
          <w:rFonts w:hint="eastAsia" w:ascii="宋体" w:hAnsi="宋体" w:cs="宋体"/>
          <w:color w:val="auto"/>
          <w:szCs w:val="21"/>
        </w:rPr>
        <w:t>1.满足《中华人民共和国政府采购法》第二十二条规定,即：</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（1）具有独立承担民事责任的能力； </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（2）具有良好的商业信誉和健全的财务会计制度； </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（3）具有履行合同所必需的设备和专业技术能力； </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（4）有依法缴纳税收和社会保障资金的良好记录； </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（5）参加政府采购活动前三年内，在经营活动中没有重大违法记录（重大违法记录是指供应商因违法经营受到刑事处罚或者责令停产停业、吊销许可证或者执照、较大数额罚款等行政处罚）； </w:t>
      </w:r>
    </w:p>
    <w:p>
      <w:pPr>
        <w:spacing w:line="360" w:lineRule="auto"/>
        <w:ind w:firstLine="420" w:firstLineChars="200"/>
        <w:rPr>
          <w:rFonts w:ascii="宋体" w:hAnsi="宋体" w:cs="宋体"/>
          <w:color w:val="auto"/>
          <w:szCs w:val="21"/>
        </w:rPr>
      </w:pPr>
      <w:r>
        <w:rPr>
          <w:rFonts w:hint="eastAsia" w:ascii="宋体" w:hAnsi="宋体" w:cs="宋体"/>
          <w:color w:val="auto"/>
          <w:szCs w:val="21"/>
        </w:rPr>
        <w:t>（6）法律、行政法规规定的其他条件。</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2.落实政府采购政策需满足的资格要求：</w:t>
      </w:r>
      <w:r>
        <w:rPr>
          <w:rFonts w:hint="eastAsia" w:ascii="宋体" w:hAnsi="宋体" w:cs="宋体"/>
          <w:color w:val="auto"/>
          <w:szCs w:val="21"/>
          <w:u w:val="single"/>
        </w:rPr>
        <w:t xml:space="preserve"> /。</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3.本项目的特定资格要求：</w:t>
      </w:r>
      <w:r>
        <w:rPr>
          <w:rFonts w:hint="eastAsia" w:ascii="宋体" w:hAnsi="宋体" w:cs="宋体"/>
          <w:color w:val="auto"/>
          <w:szCs w:val="21"/>
          <w:u w:val="single"/>
        </w:rPr>
        <w:t xml:space="preserve"> /。</w:t>
      </w:r>
    </w:p>
    <w:p>
      <w:pPr>
        <w:spacing w:line="360" w:lineRule="auto"/>
        <w:ind w:firstLine="420" w:firstLineChars="200"/>
        <w:rPr>
          <w:rFonts w:ascii="宋体" w:hAnsi="宋体" w:cs="宋体"/>
          <w:color w:val="auto"/>
          <w:szCs w:val="21"/>
        </w:rPr>
      </w:pPr>
      <w:r>
        <w:rPr>
          <w:rFonts w:hint="eastAsia" w:ascii="宋体" w:hAnsi="宋体" w:cs="宋体"/>
          <w:color w:val="auto"/>
          <w:szCs w:val="21"/>
        </w:rPr>
        <w:t>4.被“信用中国”网站（www.creditchina.gov.cn）中列入失信被执行人或税收违法黑名单的供应商、被中国政府采购网（www.ccgp.gov.cn）列入政府采购严重违法失信行为记录名单中被财政部门禁止参加政府采购活动的供应商（处罚决定规定的时间和地域范围内），无资格参加本项目的采购活动。</w:t>
      </w:r>
    </w:p>
    <w:p>
      <w:pPr>
        <w:spacing w:line="360" w:lineRule="auto"/>
        <w:ind w:firstLine="420" w:firstLineChars="200"/>
        <w:rPr>
          <w:rFonts w:ascii="宋体" w:hAnsi="宋体" w:cs="宋体"/>
          <w:color w:val="auto"/>
          <w:szCs w:val="21"/>
        </w:rPr>
      </w:pPr>
      <w:r>
        <w:rPr>
          <w:rFonts w:hint="eastAsia" w:ascii="宋体" w:hAnsi="宋体" w:cs="宋体"/>
          <w:color w:val="auto"/>
          <w:szCs w:val="21"/>
        </w:rPr>
        <w:t>5.单位负责人为同一人或者存在直接控股、管理关系的不同单位，不得同时参加本项目同一标段的磋商。为本项目相应标段提供整体设计、规范编制或者项目管理、监理、检测等服务的供应商，不得再参加同标段本项目磋商。</w:t>
      </w:r>
    </w:p>
    <w:p>
      <w:pPr>
        <w:spacing w:line="360" w:lineRule="auto"/>
        <w:ind w:firstLine="420" w:firstLineChars="200"/>
        <w:rPr>
          <w:rFonts w:ascii="宋体" w:hAnsi="宋体" w:cs="宋体"/>
          <w:color w:val="auto"/>
          <w:szCs w:val="21"/>
        </w:rPr>
      </w:pPr>
      <w:r>
        <w:rPr>
          <w:rFonts w:hint="eastAsia" w:ascii="宋体" w:hAnsi="宋体" w:cs="宋体"/>
          <w:color w:val="auto"/>
          <w:szCs w:val="21"/>
        </w:rPr>
        <w:t>6.本项目不接受联合体参与。</w:t>
      </w:r>
    </w:p>
    <w:p>
      <w:pPr>
        <w:pStyle w:val="5"/>
        <w:spacing w:line="360" w:lineRule="auto"/>
        <w:rPr>
          <w:rFonts w:ascii="宋体" w:hAnsi="宋体" w:eastAsia="宋体" w:cs="宋体"/>
          <w:bCs w:val="0"/>
          <w:color w:val="auto"/>
          <w:sz w:val="21"/>
          <w:szCs w:val="21"/>
        </w:rPr>
      </w:pPr>
      <w:bookmarkStart w:id="19" w:name="_Toc28880"/>
      <w:bookmarkStart w:id="20" w:name="_Toc5519"/>
      <w:bookmarkStart w:id="21" w:name="_Toc32026"/>
      <w:bookmarkStart w:id="22" w:name="_Toc1561"/>
      <w:r>
        <w:rPr>
          <w:rFonts w:hint="eastAsia" w:ascii="宋体" w:hAnsi="宋体" w:eastAsia="宋体" w:cs="宋体"/>
          <w:bCs w:val="0"/>
          <w:color w:val="auto"/>
          <w:sz w:val="21"/>
          <w:szCs w:val="21"/>
        </w:rPr>
        <w:t>三、获取采购文件</w:t>
      </w:r>
      <w:bookmarkEnd w:id="19"/>
      <w:bookmarkEnd w:id="20"/>
      <w:bookmarkEnd w:id="21"/>
      <w:bookmarkEnd w:id="22"/>
    </w:p>
    <w:p>
      <w:pPr>
        <w:spacing w:line="360" w:lineRule="auto"/>
        <w:ind w:firstLine="540"/>
        <w:rPr>
          <w:rFonts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u w:val="single"/>
        </w:rPr>
        <w:t>2022年</w:t>
      </w:r>
      <w:r>
        <w:rPr>
          <w:rFonts w:hint="eastAsia" w:ascii="宋体" w:hAnsi="宋体" w:cs="宋体"/>
          <w:color w:val="auto"/>
          <w:szCs w:val="21"/>
          <w:u w:val="single"/>
          <w:lang w:val="en-US" w:eastAsia="zh-CN"/>
        </w:rPr>
        <w:t>6</w:t>
      </w:r>
      <w:r>
        <w:rPr>
          <w:rFonts w:hint="eastAsia" w:ascii="宋体" w:hAnsi="宋体" w:cs="宋体"/>
          <w:color w:val="auto"/>
          <w:szCs w:val="21"/>
          <w:u w:val="single"/>
        </w:rPr>
        <w:t>月</w:t>
      </w:r>
      <w:r>
        <w:rPr>
          <w:rFonts w:hint="eastAsia" w:ascii="宋体" w:hAnsi="宋体" w:cs="宋体"/>
          <w:color w:val="auto"/>
          <w:szCs w:val="21"/>
          <w:u w:val="single"/>
          <w:lang w:val="en-US" w:eastAsia="zh-CN"/>
        </w:rPr>
        <w:t>24</w:t>
      </w:r>
      <w:r>
        <w:rPr>
          <w:rFonts w:hint="eastAsia" w:ascii="宋体" w:hAnsi="宋体" w:cs="宋体"/>
          <w:color w:val="auto"/>
          <w:szCs w:val="21"/>
          <w:u w:val="single"/>
        </w:rPr>
        <w:t>日</w:t>
      </w:r>
      <w:r>
        <w:rPr>
          <w:rFonts w:hint="eastAsia" w:ascii="宋体" w:hAnsi="宋体" w:cs="宋体"/>
          <w:color w:val="auto"/>
          <w:szCs w:val="21"/>
        </w:rPr>
        <w:t>至</w:t>
      </w:r>
      <w:r>
        <w:rPr>
          <w:rFonts w:hint="eastAsia" w:ascii="宋体" w:hAnsi="宋体" w:cs="宋体"/>
          <w:color w:val="auto"/>
          <w:szCs w:val="21"/>
          <w:u w:val="single"/>
        </w:rPr>
        <w:t>2022年</w:t>
      </w:r>
      <w:r>
        <w:rPr>
          <w:rFonts w:hint="eastAsia" w:ascii="宋体" w:hAnsi="宋体" w:cs="宋体"/>
          <w:color w:val="auto"/>
          <w:szCs w:val="21"/>
          <w:u w:val="single"/>
          <w:lang w:val="en-US" w:eastAsia="zh-CN"/>
        </w:rPr>
        <w:t>6</w:t>
      </w:r>
      <w:r>
        <w:rPr>
          <w:rFonts w:hint="eastAsia" w:ascii="宋体" w:hAnsi="宋体" w:cs="宋体"/>
          <w:color w:val="auto"/>
          <w:szCs w:val="21"/>
          <w:u w:val="single"/>
        </w:rPr>
        <w:t>月</w:t>
      </w:r>
      <w:r>
        <w:rPr>
          <w:rFonts w:hint="eastAsia" w:ascii="宋体" w:hAnsi="宋体" w:cs="宋体"/>
          <w:color w:val="auto"/>
          <w:szCs w:val="21"/>
          <w:u w:val="single"/>
          <w:lang w:val="en-US" w:eastAsia="zh-CN"/>
        </w:rPr>
        <w:t>30</w:t>
      </w:r>
      <w:r>
        <w:rPr>
          <w:rFonts w:hint="eastAsia" w:ascii="宋体" w:hAnsi="宋体" w:cs="宋体"/>
          <w:color w:val="auto"/>
          <w:szCs w:val="21"/>
          <w:u w:val="single"/>
        </w:rPr>
        <w:t>日</w:t>
      </w:r>
      <w:r>
        <w:rPr>
          <w:rFonts w:hint="eastAsia" w:ascii="宋体" w:hAnsi="宋体" w:cs="宋体"/>
          <w:iCs/>
          <w:color w:val="auto"/>
          <w:szCs w:val="21"/>
        </w:rPr>
        <w:t>（</w:t>
      </w:r>
      <w:r>
        <w:rPr>
          <w:rFonts w:hint="eastAsia" w:ascii="宋体" w:hAnsi="宋体" w:cs="宋体"/>
          <w:color w:val="auto"/>
          <w:szCs w:val="21"/>
        </w:rPr>
        <w:t>每天上午</w:t>
      </w:r>
      <w:r>
        <w:rPr>
          <w:rFonts w:hint="eastAsia" w:ascii="宋体" w:hAnsi="宋体" w:cs="宋体"/>
          <w:color w:val="auto"/>
          <w:szCs w:val="21"/>
          <w:u w:val="single"/>
        </w:rPr>
        <w:t>8:30</w:t>
      </w:r>
      <w:r>
        <w:rPr>
          <w:rFonts w:hint="eastAsia" w:ascii="宋体" w:hAnsi="宋体" w:cs="宋体"/>
          <w:color w:val="auto"/>
          <w:szCs w:val="21"/>
        </w:rPr>
        <w:t>至</w:t>
      </w:r>
      <w:r>
        <w:rPr>
          <w:rFonts w:hint="eastAsia" w:ascii="宋体" w:hAnsi="宋体" w:cs="宋体"/>
          <w:color w:val="auto"/>
          <w:szCs w:val="21"/>
          <w:u w:val="single"/>
        </w:rPr>
        <w:t>12:00</w:t>
      </w:r>
      <w:r>
        <w:rPr>
          <w:rFonts w:hint="eastAsia" w:ascii="宋体" w:hAnsi="宋体" w:cs="宋体"/>
          <w:color w:val="auto"/>
          <w:szCs w:val="21"/>
        </w:rPr>
        <w:t>，下午</w:t>
      </w:r>
      <w:r>
        <w:rPr>
          <w:rFonts w:hint="eastAsia" w:ascii="宋体" w:hAnsi="宋体" w:cs="宋体"/>
          <w:color w:val="auto"/>
          <w:szCs w:val="21"/>
          <w:u w:val="single"/>
        </w:rPr>
        <w:t>14:00</w:t>
      </w:r>
      <w:r>
        <w:rPr>
          <w:rFonts w:hint="eastAsia" w:ascii="宋体" w:hAnsi="宋体" w:cs="宋体"/>
          <w:color w:val="auto"/>
          <w:szCs w:val="21"/>
        </w:rPr>
        <w:t>至</w:t>
      </w:r>
      <w:r>
        <w:rPr>
          <w:rFonts w:hint="eastAsia" w:ascii="宋体" w:hAnsi="宋体" w:cs="宋体"/>
          <w:color w:val="auto"/>
          <w:szCs w:val="21"/>
          <w:u w:val="single"/>
        </w:rPr>
        <w:t>17:30</w:t>
      </w:r>
      <w:r>
        <w:rPr>
          <w:rFonts w:hint="eastAsia" w:ascii="宋体" w:hAnsi="宋体" w:cs="宋体"/>
          <w:color w:val="auto"/>
          <w:szCs w:val="21"/>
        </w:rPr>
        <w:t>（北京时间，法定节假日除外）地点：武汉市洪山区徐东大街97号龙潭SOMO A座16楼国信招标集团股份有限公司湖北分公司</w:t>
      </w:r>
    </w:p>
    <w:p>
      <w:pPr>
        <w:spacing w:line="360" w:lineRule="auto"/>
        <w:ind w:firstLine="540"/>
        <w:rPr>
          <w:rFonts w:ascii="宋体" w:hAnsi="宋体" w:cs="宋体"/>
          <w:color w:val="auto"/>
          <w:szCs w:val="21"/>
        </w:rPr>
      </w:pPr>
      <w:r>
        <w:rPr>
          <w:rFonts w:hint="eastAsia" w:ascii="宋体" w:hAnsi="宋体" w:cs="宋体"/>
          <w:color w:val="auto"/>
          <w:szCs w:val="21"/>
        </w:rPr>
        <w:t>方式：持法人代表身份证明书及法人代表授权委托书及被授权人的有效身份证（加盖公章）现场获取磋商文件。</w:t>
      </w:r>
      <w:r>
        <w:rPr>
          <w:rFonts w:hint="eastAsia" w:ascii="宋体" w:cs="宋体"/>
          <w:color w:val="auto"/>
          <w:szCs w:val="21"/>
        </w:rPr>
        <w:t>（</w:t>
      </w:r>
      <w:r>
        <w:rPr>
          <w:rFonts w:hint="eastAsia" w:ascii="宋体" w:hAnsi="宋体" w:cs="宋体"/>
          <w:color w:val="auto"/>
        </w:rPr>
        <w:t>潜在供应商需先进入</w:t>
      </w:r>
      <w:r>
        <w:rPr>
          <w:rFonts w:ascii="宋体" w:hAnsi="宋体" w:cs="宋体"/>
          <w:color w:val="auto"/>
        </w:rPr>
        <w:t>http://user.gxzb.com.cn/ztb/unit/login/register.jsp</w:t>
      </w:r>
      <w:r>
        <w:rPr>
          <w:rFonts w:hint="eastAsia" w:ascii="宋体" w:hAnsi="宋体" w:cs="宋体"/>
          <w:color w:val="auto"/>
        </w:rPr>
        <w:t>国信招标集团单位入库免费在线申请，完善相关信息提交后方可获取采购文件，已申请的无需重新申请</w:t>
      </w:r>
      <w:r>
        <w:rPr>
          <w:rFonts w:hint="eastAsia" w:ascii="宋体" w:cs="宋体"/>
          <w:color w:val="auto"/>
          <w:szCs w:val="21"/>
        </w:rPr>
        <w:t>）</w:t>
      </w:r>
    </w:p>
    <w:p>
      <w:pPr>
        <w:spacing w:line="360" w:lineRule="auto"/>
        <w:ind w:firstLine="540"/>
        <w:rPr>
          <w:rFonts w:ascii="宋体" w:hAnsi="宋体" w:cs="宋体"/>
          <w:color w:val="auto"/>
          <w:szCs w:val="21"/>
        </w:rPr>
      </w:pPr>
      <w:r>
        <w:rPr>
          <w:rFonts w:hint="eastAsia" w:ascii="宋体" w:hAnsi="宋体" w:cs="宋体"/>
          <w:color w:val="auto"/>
          <w:szCs w:val="21"/>
        </w:rPr>
        <w:t>售价：人民币300元，售后不退。</w:t>
      </w:r>
    </w:p>
    <w:p>
      <w:pPr>
        <w:pStyle w:val="5"/>
        <w:spacing w:line="360" w:lineRule="auto"/>
        <w:rPr>
          <w:rFonts w:ascii="宋体" w:hAnsi="宋体" w:eastAsia="宋体" w:cs="宋体"/>
          <w:bCs w:val="0"/>
          <w:color w:val="auto"/>
          <w:sz w:val="21"/>
          <w:szCs w:val="21"/>
        </w:rPr>
      </w:pPr>
      <w:bookmarkStart w:id="23" w:name="_Toc10690"/>
      <w:bookmarkStart w:id="24" w:name="_Toc20840"/>
      <w:bookmarkStart w:id="25" w:name="_Toc22625"/>
      <w:bookmarkStart w:id="26" w:name="_Toc22106"/>
      <w:r>
        <w:rPr>
          <w:rFonts w:hint="eastAsia" w:ascii="宋体" w:hAnsi="宋体" w:eastAsia="宋体" w:cs="宋体"/>
          <w:bCs w:val="0"/>
          <w:color w:val="auto"/>
          <w:sz w:val="21"/>
          <w:szCs w:val="21"/>
        </w:rPr>
        <w:t>四、响应文件提交</w:t>
      </w:r>
      <w:bookmarkEnd w:id="23"/>
      <w:bookmarkEnd w:id="24"/>
      <w:bookmarkEnd w:id="25"/>
      <w:bookmarkEnd w:id="26"/>
    </w:p>
    <w:p>
      <w:pPr>
        <w:spacing w:line="360" w:lineRule="auto"/>
        <w:ind w:firstLine="420" w:firstLineChars="200"/>
        <w:rPr>
          <w:rFonts w:ascii="宋体" w:hAnsi="宋体" w:cs="宋体"/>
          <w:bCs/>
          <w:color w:val="auto"/>
          <w:szCs w:val="21"/>
          <w:u w:val="single"/>
        </w:rPr>
      </w:pPr>
      <w:r>
        <w:rPr>
          <w:rFonts w:hint="eastAsia" w:ascii="宋体" w:hAnsi="宋体" w:cs="宋体"/>
          <w:color w:val="auto"/>
          <w:szCs w:val="21"/>
        </w:rPr>
        <w:t>截止时间：</w:t>
      </w:r>
      <w:r>
        <w:rPr>
          <w:rFonts w:hint="eastAsia" w:ascii="宋体" w:hAnsi="宋体" w:cs="宋体"/>
          <w:color w:val="auto"/>
          <w:szCs w:val="21"/>
          <w:u w:val="single"/>
        </w:rPr>
        <w:t xml:space="preserve"> 2022</w:t>
      </w:r>
      <w:r>
        <w:rPr>
          <w:rFonts w:hint="eastAsia" w:ascii="宋体" w:hAnsi="宋体" w:cs="宋体"/>
          <w:bCs/>
          <w:color w:val="auto"/>
          <w:szCs w:val="21"/>
          <w:u w:val="single"/>
        </w:rPr>
        <w:t>年</w:t>
      </w:r>
      <w:r>
        <w:rPr>
          <w:rFonts w:hint="eastAsia" w:ascii="宋体" w:hAnsi="宋体" w:cs="宋体"/>
          <w:bCs/>
          <w:color w:val="auto"/>
          <w:szCs w:val="21"/>
          <w:u w:val="single"/>
          <w:lang w:val="en-US" w:eastAsia="zh-CN"/>
        </w:rPr>
        <w:t>7</w:t>
      </w:r>
      <w:r>
        <w:rPr>
          <w:rFonts w:hint="eastAsia" w:ascii="宋体" w:hAnsi="宋体" w:cs="宋体"/>
          <w:bCs/>
          <w:color w:val="auto"/>
          <w:szCs w:val="21"/>
          <w:u w:val="single"/>
        </w:rPr>
        <w:t>月</w:t>
      </w:r>
      <w:r>
        <w:rPr>
          <w:rFonts w:hint="eastAsia" w:ascii="宋体" w:hAnsi="宋体" w:cs="宋体"/>
          <w:bCs/>
          <w:color w:val="auto"/>
          <w:szCs w:val="21"/>
          <w:u w:val="single"/>
          <w:lang w:val="en-US" w:eastAsia="zh-CN"/>
        </w:rPr>
        <w:t>6</w:t>
      </w:r>
      <w:r>
        <w:rPr>
          <w:rFonts w:hint="eastAsia" w:ascii="宋体" w:hAnsi="宋体" w:cs="宋体"/>
          <w:bCs/>
          <w:color w:val="auto"/>
          <w:szCs w:val="21"/>
          <w:u w:val="single"/>
        </w:rPr>
        <w:t>日</w:t>
      </w:r>
      <w:r>
        <w:rPr>
          <w:rFonts w:hint="eastAsia" w:ascii="宋体" w:hAnsi="宋体" w:cs="宋体"/>
          <w:bCs/>
          <w:color w:val="auto"/>
          <w:szCs w:val="21"/>
          <w:u w:val="single"/>
          <w:lang w:val="en-US" w:eastAsia="zh-CN"/>
        </w:rPr>
        <w:t>14</w:t>
      </w:r>
      <w:r>
        <w:rPr>
          <w:rFonts w:hint="eastAsia" w:ascii="宋体" w:hAnsi="宋体" w:cs="宋体"/>
          <w:bCs/>
          <w:color w:val="auto"/>
          <w:szCs w:val="21"/>
          <w:u w:val="single"/>
        </w:rPr>
        <w:t>点30分</w:t>
      </w:r>
      <w:r>
        <w:rPr>
          <w:rFonts w:hint="eastAsia" w:ascii="宋体" w:hAnsi="宋体" w:cs="宋体"/>
          <w:bCs/>
          <w:color w:val="auto"/>
          <w:szCs w:val="21"/>
        </w:rPr>
        <w:t>（北京时间）</w:t>
      </w:r>
    </w:p>
    <w:p>
      <w:pPr>
        <w:spacing w:line="360" w:lineRule="auto"/>
        <w:ind w:firstLine="420" w:firstLineChars="200"/>
        <w:rPr>
          <w:rFonts w:ascii="宋体" w:hAnsi="宋体" w:cs="宋体"/>
          <w:bCs/>
          <w:color w:val="auto"/>
          <w:szCs w:val="21"/>
          <w:u w:val="single"/>
        </w:rPr>
      </w:pPr>
      <w:r>
        <w:rPr>
          <w:rFonts w:hint="eastAsia" w:ascii="宋体" w:hAnsi="宋体" w:cs="宋体"/>
          <w:color w:val="auto"/>
          <w:szCs w:val="21"/>
        </w:rPr>
        <w:t>地点：</w:t>
      </w:r>
      <w:r>
        <w:rPr>
          <w:rFonts w:hint="eastAsia"/>
          <w:color w:val="auto"/>
          <w:szCs w:val="21"/>
        </w:rPr>
        <w:t>湖北省武汉市洪山区徐东大街 97 号龙潭SOMO A 座 16 楼</w:t>
      </w:r>
      <w:r>
        <w:rPr>
          <w:rFonts w:hint="eastAsia"/>
          <w:color w:val="auto"/>
        </w:rPr>
        <w:t>国信招标集团股份有限公司湖北分公司</w:t>
      </w:r>
      <w:r>
        <w:rPr>
          <w:rFonts w:hint="eastAsia"/>
          <w:color w:val="auto"/>
          <w:szCs w:val="21"/>
          <w:u w:val="single"/>
        </w:rPr>
        <w:t xml:space="preserve"> </w:t>
      </w:r>
      <w:r>
        <w:rPr>
          <w:rFonts w:hint="eastAsia"/>
          <w:color w:val="auto"/>
          <w:szCs w:val="21"/>
          <w:u w:val="single"/>
          <w:lang w:val="en-US" w:eastAsia="zh-CN"/>
        </w:rPr>
        <w:t>5</w:t>
      </w:r>
      <w:r>
        <w:rPr>
          <w:rFonts w:hint="eastAsia"/>
          <w:color w:val="auto"/>
          <w:szCs w:val="21"/>
          <w:u w:val="single"/>
        </w:rPr>
        <w:t xml:space="preserve"> </w:t>
      </w:r>
      <w:r>
        <w:rPr>
          <w:rFonts w:hint="eastAsia"/>
          <w:color w:val="auto"/>
          <w:szCs w:val="21"/>
        </w:rPr>
        <w:t>号会议室</w:t>
      </w:r>
      <w:r>
        <w:rPr>
          <w:rFonts w:hint="eastAsia" w:ascii="宋体" w:hAnsi="宋体" w:cs="宋体"/>
          <w:color w:val="auto"/>
          <w:szCs w:val="21"/>
        </w:rPr>
        <w:t>。</w:t>
      </w:r>
    </w:p>
    <w:p>
      <w:pPr>
        <w:pStyle w:val="5"/>
        <w:spacing w:line="360" w:lineRule="auto"/>
        <w:rPr>
          <w:rFonts w:ascii="宋体" w:hAnsi="宋体" w:eastAsia="宋体" w:cs="宋体"/>
          <w:bCs w:val="0"/>
          <w:color w:val="auto"/>
          <w:sz w:val="21"/>
          <w:szCs w:val="21"/>
        </w:rPr>
      </w:pPr>
      <w:bookmarkStart w:id="27" w:name="_Toc17931"/>
      <w:bookmarkStart w:id="28" w:name="_Toc8272"/>
      <w:bookmarkStart w:id="29" w:name="_Toc4094"/>
      <w:bookmarkStart w:id="30" w:name="_Toc2196"/>
      <w:r>
        <w:rPr>
          <w:rFonts w:hint="eastAsia" w:ascii="宋体" w:hAnsi="宋体" w:eastAsia="宋体" w:cs="宋体"/>
          <w:bCs w:val="0"/>
          <w:color w:val="auto"/>
          <w:sz w:val="21"/>
          <w:szCs w:val="21"/>
        </w:rPr>
        <w:t>五、开启</w:t>
      </w:r>
      <w:bookmarkEnd w:id="27"/>
      <w:bookmarkEnd w:id="28"/>
      <w:bookmarkEnd w:id="29"/>
      <w:bookmarkEnd w:id="30"/>
      <w:r>
        <w:rPr>
          <w:rFonts w:hint="eastAsia" w:ascii="宋体" w:hAnsi="宋体" w:eastAsia="宋体" w:cs="宋体"/>
          <w:bCs w:val="0"/>
          <w:color w:val="auto"/>
          <w:sz w:val="21"/>
          <w:szCs w:val="21"/>
        </w:rPr>
        <w:t>响应文件</w:t>
      </w:r>
    </w:p>
    <w:p>
      <w:pPr>
        <w:spacing w:line="360" w:lineRule="auto"/>
        <w:ind w:firstLine="420" w:firstLineChars="200"/>
        <w:rPr>
          <w:rFonts w:ascii="宋体" w:hAnsi="宋体" w:cs="宋体"/>
          <w:bCs/>
          <w:color w:val="auto"/>
          <w:szCs w:val="21"/>
          <w:u w:val="single"/>
        </w:rPr>
      </w:pPr>
      <w:r>
        <w:rPr>
          <w:rFonts w:hint="eastAsia" w:ascii="宋体" w:hAnsi="宋体" w:cs="宋体"/>
          <w:color w:val="auto"/>
          <w:szCs w:val="21"/>
        </w:rPr>
        <w:t>时间：</w:t>
      </w:r>
      <w:r>
        <w:rPr>
          <w:rFonts w:hint="eastAsia" w:ascii="宋体" w:hAnsi="宋体" w:cs="宋体"/>
          <w:color w:val="auto"/>
          <w:szCs w:val="21"/>
          <w:u w:val="single"/>
        </w:rPr>
        <w:t xml:space="preserve"> 2022</w:t>
      </w:r>
      <w:r>
        <w:rPr>
          <w:rFonts w:hint="eastAsia" w:ascii="宋体" w:hAnsi="宋体" w:cs="宋体"/>
          <w:bCs/>
          <w:color w:val="auto"/>
          <w:szCs w:val="21"/>
          <w:u w:val="single"/>
        </w:rPr>
        <w:t>年</w:t>
      </w:r>
      <w:r>
        <w:rPr>
          <w:rFonts w:hint="eastAsia" w:ascii="宋体" w:hAnsi="宋体" w:cs="宋体"/>
          <w:bCs/>
          <w:color w:val="auto"/>
          <w:szCs w:val="21"/>
          <w:u w:val="single"/>
          <w:lang w:val="en-US" w:eastAsia="zh-CN"/>
        </w:rPr>
        <w:t>7</w:t>
      </w:r>
      <w:r>
        <w:rPr>
          <w:rFonts w:hint="eastAsia" w:ascii="宋体" w:hAnsi="宋体" w:cs="宋体"/>
          <w:bCs/>
          <w:color w:val="auto"/>
          <w:szCs w:val="21"/>
          <w:u w:val="single"/>
        </w:rPr>
        <w:t>月</w:t>
      </w:r>
      <w:r>
        <w:rPr>
          <w:rFonts w:hint="eastAsia" w:ascii="宋体" w:hAnsi="宋体" w:cs="宋体"/>
          <w:bCs/>
          <w:color w:val="auto"/>
          <w:szCs w:val="21"/>
          <w:u w:val="single"/>
          <w:lang w:val="en-US" w:eastAsia="zh-CN"/>
        </w:rPr>
        <w:t>6</w:t>
      </w:r>
      <w:r>
        <w:rPr>
          <w:rFonts w:hint="eastAsia" w:ascii="宋体" w:hAnsi="宋体" w:cs="宋体"/>
          <w:bCs/>
          <w:color w:val="auto"/>
          <w:szCs w:val="21"/>
          <w:u w:val="single"/>
        </w:rPr>
        <w:t>日</w:t>
      </w:r>
      <w:r>
        <w:rPr>
          <w:rFonts w:hint="eastAsia" w:ascii="宋体" w:hAnsi="宋体" w:cs="宋体"/>
          <w:bCs/>
          <w:color w:val="auto"/>
          <w:szCs w:val="21"/>
          <w:u w:val="single"/>
          <w:lang w:val="en-US" w:eastAsia="zh-CN"/>
        </w:rPr>
        <w:t>14</w:t>
      </w:r>
      <w:r>
        <w:rPr>
          <w:rFonts w:hint="eastAsia" w:ascii="宋体" w:hAnsi="宋体" w:cs="宋体"/>
          <w:bCs/>
          <w:color w:val="auto"/>
          <w:szCs w:val="21"/>
          <w:u w:val="single"/>
        </w:rPr>
        <w:t>点30分</w:t>
      </w:r>
      <w:r>
        <w:rPr>
          <w:rFonts w:hint="eastAsia" w:ascii="宋体" w:hAnsi="宋体" w:cs="宋体"/>
          <w:bCs/>
          <w:color w:val="auto"/>
          <w:szCs w:val="21"/>
        </w:rPr>
        <w:t>（北京时间）</w:t>
      </w:r>
    </w:p>
    <w:p>
      <w:pPr>
        <w:spacing w:line="360" w:lineRule="auto"/>
        <w:ind w:firstLine="420" w:firstLineChars="200"/>
        <w:rPr>
          <w:rFonts w:ascii="宋体" w:hAnsi="宋体" w:cs="宋体" w:eastAsiaTheme="minorEastAsia"/>
          <w:bCs/>
          <w:color w:val="auto"/>
          <w:szCs w:val="21"/>
          <w:u w:val="single"/>
        </w:rPr>
      </w:pPr>
      <w:r>
        <w:rPr>
          <w:rFonts w:hint="eastAsia" w:ascii="宋体" w:hAnsi="宋体" w:cs="宋体"/>
          <w:color w:val="auto"/>
          <w:szCs w:val="21"/>
        </w:rPr>
        <w:t>地点：</w:t>
      </w:r>
      <w:r>
        <w:rPr>
          <w:rFonts w:hint="eastAsia"/>
          <w:color w:val="auto"/>
          <w:szCs w:val="21"/>
        </w:rPr>
        <w:t>湖北省武汉市洪山区徐东大街 97 号龙潭SOMO A 座 16 楼</w:t>
      </w:r>
      <w:r>
        <w:rPr>
          <w:rFonts w:hint="eastAsia"/>
          <w:color w:val="auto"/>
        </w:rPr>
        <w:t>国信招标集团股份</w:t>
      </w:r>
      <w:r>
        <w:rPr>
          <w:rFonts w:hint="eastAsia"/>
          <w:color w:val="auto"/>
        </w:rPr>
        <w:t>有限公司湖北分公司</w:t>
      </w:r>
      <w:r>
        <w:rPr>
          <w:rFonts w:hint="eastAsia"/>
          <w:color w:val="auto"/>
          <w:szCs w:val="21"/>
          <w:u w:val="single"/>
        </w:rPr>
        <w:t xml:space="preserve"> </w:t>
      </w:r>
      <w:r>
        <w:rPr>
          <w:rFonts w:hint="eastAsia"/>
          <w:color w:val="auto"/>
          <w:szCs w:val="21"/>
          <w:u w:val="single"/>
          <w:lang w:val="en-US" w:eastAsia="zh-CN"/>
        </w:rPr>
        <w:t>5</w:t>
      </w:r>
      <w:r>
        <w:rPr>
          <w:rFonts w:hint="eastAsia"/>
          <w:color w:val="auto"/>
          <w:szCs w:val="21"/>
          <w:u w:val="single"/>
        </w:rPr>
        <w:t xml:space="preserve"> </w:t>
      </w:r>
      <w:r>
        <w:rPr>
          <w:rFonts w:hint="eastAsia"/>
          <w:color w:val="auto"/>
          <w:szCs w:val="21"/>
        </w:rPr>
        <w:t>号会议室</w:t>
      </w:r>
      <w:r>
        <w:rPr>
          <w:rFonts w:hint="eastAsia" w:asciiTheme="minorEastAsia" w:hAnsiTheme="minorEastAsia" w:eastAsiaTheme="minorEastAsia" w:cstheme="minorEastAsia"/>
          <w:color w:val="auto"/>
          <w:szCs w:val="21"/>
        </w:rPr>
        <w:t>。</w:t>
      </w:r>
    </w:p>
    <w:p>
      <w:pPr>
        <w:pStyle w:val="5"/>
        <w:spacing w:line="360" w:lineRule="auto"/>
        <w:rPr>
          <w:rFonts w:ascii="宋体" w:hAnsi="宋体" w:eastAsia="宋体" w:cs="宋体"/>
          <w:bCs w:val="0"/>
          <w:color w:val="auto"/>
          <w:sz w:val="21"/>
          <w:szCs w:val="21"/>
        </w:rPr>
      </w:pPr>
      <w:bookmarkStart w:id="31" w:name="_Toc24441"/>
      <w:bookmarkStart w:id="32" w:name="_Toc29715"/>
      <w:bookmarkStart w:id="33" w:name="_Toc32749"/>
      <w:bookmarkStart w:id="34" w:name="_Toc8669"/>
      <w:r>
        <w:rPr>
          <w:rFonts w:hint="eastAsia" w:ascii="宋体" w:hAnsi="宋体" w:eastAsia="宋体" w:cs="宋体"/>
          <w:bCs w:val="0"/>
          <w:color w:val="auto"/>
          <w:sz w:val="21"/>
          <w:szCs w:val="21"/>
        </w:rPr>
        <w:t>六、公告期限</w:t>
      </w:r>
      <w:bookmarkEnd w:id="31"/>
      <w:bookmarkEnd w:id="32"/>
      <w:bookmarkEnd w:id="33"/>
      <w:bookmarkEnd w:id="34"/>
    </w:p>
    <w:p>
      <w:pPr>
        <w:ind w:firstLine="420" w:firstLineChars="200"/>
        <w:rPr>
          <w:rFonts w:ascii="宋体" w:hAnsi="宋体" w:cs="宋体"/>
          <w:color w:val="auto"/>
          <w:kern w:val="0"/>
          <w:szCs w:val="21"/>
        </w:rPr>
      </w:pPr>
      <w:r>
        <w:rPr>
          <w:rFonts w:hint="eastAsia" w:ascii="宋体" w:hAnsi="宋体" w:cs="宋体"/>
          <w:color w:val="auto"/>
          <w:kern w:val="0"/>
          <w:szCs w:val="21"/>
        </w:rPr>
        <w:t>自本公告在《中国政府采购网》（www.ccgp.gov.cn）发布之日起3个工作日。</w:t>
      </w:r>
      <w:bookmarkStart w:id="35" w:name="_Toc18691"/>
      <w:bookmarkStart w:id="36" w:name="_Toc22499"/>
      <w:bookmarkStart w:id="37" w:name="_Toc6293"/>
      <w:bookmarkStart w:id="38" w:name="_Toc12702"/>
    </w:p>
    <w:p>
      <w:pPr>
        <w:pStyle w:val="5"/>
        <w:spacing w:line="360" w:lineRule="auto"/>
        <w:rPr>
          <w:rFonts w:ascii="宋体" w:hAnsi="宋体" w:eastAsia="宋体" w:cs="宋体"/>
          <w:bCs w:val="0"/>
          <w:color w:val="auto"/>
          <w:sz w:val="21"/>
          <w:szCs w:val="21"/>
        </w:rPr>
      </w:pPr>
      <w:r>
        <w:rPr>
          <w:rFonts w:hint="eastAsia" w:ascii="宋体" w:hAnsi="宋体" w:eastAsia="宋体" w:cs="宋体"/>
          <w:bCs w:val="0"/>
          <w:color w:val="auto"/>
          <w:sz w:val="21"/>
          <w:szCs w:val="21"/>
        </w:rPr>
        <w:t>七、其他补充事宜</w:t>
      </w:r>
      <w:bookmarkEnd w:id="35"/>
      <w:bookmarkEnd w:id="36"/>
      <w:bookmarkEnd w:id="37"/>
      <w:bookmarkEnd w:id="38"/>
      <w:bookmarkStart w:id="39" w:name="_Toc26608"/>
      <w:bookmarkStart w:id="40" w:name="_Toc5031"/>
      <w:bookmarkStart w:id="41" w:name="_Toc27056"/>
      <w:bookmarkStart w:id="42" w:name="_Toc27918"/>
    </w:p>
    <w:bookmarkEnd w:id="39"/>
    <w:bookmarkEnd w:id="40"/>
    <w:bookmarkEnd w:id="41"/>
    <w:bookmarkEnd w:id="42"/>
    <w:p>
      <w:pPr>
        <w:spacing w:line="360" w:lineRule="auto"/>
        <w:ind w:firstLine="420" w:firstLineChars="200"/>
        <w:rPr>
          <w:rFonts w:ascii="宋体" w:hAnsi="宋体" w:cs="宋体"/>
          <w:color w:val="auto"/>
          <w:szCs w:val="21"/>
        </w:rPr>
      </w:pPr>
      <w:bookmarkStart w:id="43" w:name="_Toc17576"/>
      <w:bookmarkStart w:id="44" w:name="_Toc17168"/>
      <w:bookmarkStart w:id="45" w:name="_Toc30854"/>
      <w:bookmarkStart w:id="46" w:name="_Toc9551"/>
      <w:r>
        <w:rPr>
          <w:rFonts w:hint="eastAsia" w:ascii="宋体" w:hAnsi="宋体" w:cs="宋体"/>
          <w:color w:val="auto"/>
          <w:szCs w:val="21"/>
        </w:rPr>
        <w:t>采购项目执行政府采购政策：</w:t>
      </w:r>
      <w:bookmarkStart w:id="47" w:name="_Toc17107"/>
      <w:bookmarkStart w:id="48" w:name="_Toc11315"/>
      <w:bookmarkStart w:id="49" w:name="_Toc12388"/>
      <w:bookmarkStart w:id="50" w:name="_Toc10541"/>
    </w:p>
    <w:bookmarkEnd w:id="47"/>
    <w:bookmarkEnd w:id="48"/>
    <w:bookmarkEnd w:id="49"/>
    <w:bookmarkEnd w:id="50"/>
    <w:p>
      <w:pPr>
        <w:spacing w:line="360" w:lineRule="auto"/>
        <w:ind w:firstLine="420" w:firstLineChars="200"/>
        <w:rPr>
          <w:rFonts w:ascii="宋体" w:hAnsi="宋体" w:cs="宋体"/>
          <w:color w:val="auto"/>
          <w:szCs w:val="21"/>
        </w:rPr>
      </w:pPr>
      <w:r>
        <w:rPr>
          <w:rFonts w:hint="eastAsia" w:ascii="宋体" w:hAnsi="宋体" w:cs="宋体"/>
          <w:color w:val="auto"/>
          <w:szCs w:val="21"/>
        </w:rPr>
        <w:t>符合政府采购优先采购节能产品、环境标志产品政策的给予价格扣除。</w:t>
      </w:r>
    </w:p>
    <w:p>
      <w:pPr>
        <w:spacing w:line="360" w:lineRule="auto"/>
        <w:ind w:firstLine="420" w:firstLineChars="200"/>
        <w:rPr>
          <w:rFonts w:ascii="宋体" w:hAnsi="宋体" w:cs="宋体"/>
          <w:color w:val="auto"/>
          <w:szCs w:val="21"/>
        </w:rPr>
      </w:pPr>
      <w:r>
        <w:rPr>
          <w:rFonts w:hint="eastAsia" w:ascii="宋体" w:hAnsi="宋体" w:cs="宋体"/>
          <w:color w:val="auto"/>
          <w:szCs w:val="21"/>
        </w:rPr>
        <w:t>本项目不属于专门面向中小企业采购项目。对小微企业的产品给予价格扣除（监狱企业、残疾人福利性单位视同小微企业；残疾人福利性单位属于小型、微型企业的，不重复享受政策）。</w:t>
      </w:r>
    </w:p>
    <w:p>
      <w:pPr>
        <w:pStyle w:val="5"/>
        <w:spacing w:line="360" w:lineRule="auto"/>
        <w:rPr>
          <w:rFonts w:ascii="宋体" w:hAnsi="宋体" w:eastAsia="宋体" w:cs="宋体"/>
          <w:color w:val="auto"/>
          <w:sz w:val="21"/>
          <w:szCs w:val="21"/>
        </w:rPr>
      </w:pPr>
      <w:r>
        <w:rPr>
          <w:rFonts w:hint="eastAsia" w:ascii="宋体" w:hAnsi="宋体" w:eastAsia="宋体" w:cs="宋体"/>
          <w:color w:val="auto"/>
          <w:sz w:val="21"/>
          <w:szCs w:val="21"/>
        </w:rPr>
        <w:t>八、凡对本次采购提出询问，请按以下方式联系。</w:t>
      </w:r>
      <w:bookmarkEnd w:id="43"/>
      <w:bookmarkEnd w:id="44"/>
      <w:bookmarkEnd w:id="45"/>
      <w:bookmarkEnd w:id="46"/>
    </w:p>
    <w:p>
      <w:pPr>
        <w:spacing w:line="420" w:lineRule="exact"/>
        <w:ind w:firstLine="420" w:firstLineChars="200"/>
        <w:rPr>
          <w:rFonts w:ascii="宋体" w:hAnsi="宋体" w:cs="宋体"/>
          <w:color w:val="auto"/>
          <w:szCs w:val="21"/>
        </w:rPr>
      </w:pPr>
      <w:bookmarkStart w:id="51" w:name="_Toc145"/>
      <w:bookmarkStart w:id="52" w:name="_Toc25489"/>
      <w:bookmarkStart w:id="53" w:name="_Toc31450"/>
      <w:bookmarkStart w:id="54" w:name="_Toc27074"/>
      <w:r>
        <w:rPr>
          <w:rFonts w:hint="eastAsia" w:ascii="宋体" w:hAnsi="宋体" w:cs="宋体"/>
          <w:color w:val="auto"/>
          <w:szCs w:val="21"/>
        </w:rPr>
        <w:t>1.采购人信息</w:t>
      </w:r>
      <w:bookmarkEnd w:id="51"/>
      <w:bookmarkEnd w:id="52"/>
      <w:bookmarkEnd w:id="53"/>
      <w:bookmarkEnd w:id="54"/>
    </w:p>
    <w:p>
      <w:pPr>
        <w:spacing w:line="420" w:lineRule="exact"/>
        <w:ind w:firstLine="420" w:firstLineChars="200"/>
        <w:rPr>
          <w:rFonts w:ascii="宋体" w:hAnsi="宋体" w:cs="宋体"/>
          <w:color w:val="auto"/>
          <w:szCs w:val="21"/>
        </w:rPr>
      </w:pPr>
      <w:r>
        <w:rPr>
          <w:rFonts w:hint="eastAsia" w:ascii="宋体" w:hAnsi="宋体" w:cs="宋体"/>
          <w:color w:val="auto"/>
          <w:szCs w:val="21"/>
        </w:rPr>
        <w:t>名    称：</w:t>
      </w:r>
      <w:r>
        <w:rPr>
          <w:rFonts w:hint="eastAsia" w:ascii="宋体" w:hAnsi="宋体" w:cs="宋体"/>
          <w:color w:val="auto"/>
          <w:szCs w:val="21"/>
          <w:u w:val="single"/>
        </w:rPr>
        <w:t>华中农业大学</w:t>
      </w:r>
    </w:p>
    <w:p>
      <w:pPr>
        <w:spacing w:line="420" w:lineRule="exact"/>
        <w:ind w:firstLine="420" w:firstLineChars="200"/>
        <w:rPr>
          <w:rFonts w:ascii="宋体" w:hAnsi="宋体" w:cs="宋体"/>
          <w:color w:val="auto"/>
          <w:szCs w:val="21"/>
        </w:rPr>
      </w:pPr>
      <w:r>
        <w:rPr>
          <w:rFonts w:hint="eastAsia" w:ascii="宋体" w:hAnsi="宋体" w:cs="宋体"/>
          <w:color w:val="auto"/>
          <w:szCs w:val="21"/>
        </w:rPr>
        <w:t>地    址：</w:t>
      </w:r>
      <w:r>
        <w:rPr>
          <w:rFonts w:hint="eastAsia" w:ascii="宋体" w:hAnsi="宋体" w:cs="宋体"/>
          <w:color w:val="auto"/>
          <w:szCs w:val="21"/>
          <w:u w:val="single"/>
        </w:rPr>
        <w:t>武汉市洪山区狮子山街一号</w:t>
      </w:r>
    </w:p>
    <w:p>
      <w:pPr>
        <w:spacing w:line="420" w:lineRule="exact"/>
        <w:ind w:firstLine="420" w:firstLineChars="200"/>
        <w:rPr>
          <w:rFonts w:ascii="宋体" w:hAnsi="宋体" w:cs="宋体"/>
          <w:color w:val="auto"/>
          <w:szCs w:val="21"/>
        </w:rPr>
      </w:pPr>
      <w:r>
        <w:rPr>
          <w:rFonts w:hint="eastAsia" w:ascii="宋体" w:hAnsi="宋体" w:cs="宋体"/>
          <w:color w:val="auto"/>
          <w:szCs w:val="21"/>
        </w:rPr>
        <w:t>联系方式：</w:t>
      </w:r>
      <w:r>
        <w:rPr>
          <w:rFonts w:hint="eastAsia" w:ascii="宋体" w:hAnsi="宋体" w:cs="宋体"/>
          <w:color w:val="auto"/>
          <w:szCs w:val="21"/>
          <w:u w:val="single"/>
        </w:rPr>
        <w:t xml:space="preserve">许晶　027-87282631 </w:t>
      </w:r>
    </w:p>
    <w:p>
      <w:pPr>
        <w:spacing w:line="420" w:lineRule="exact"/>
        <w:ind w:firstLine="420" w:firstLineChars="200"/>
        <w:rPr>
          <w:rFonts w:ascii="宋体" w:hAnsi="宋体" w:cs="宋体"/>
          <w:color w:val="auto"/>
          <w:szCs w:val="21"/>
        </w:rPr>
      </w:pPr>
      <w:bookmarkStart w:id="55" w:name="_Toc15946"/>
      <w:bookmarkStart w:id="56" w:name="_Toc21352"/>
      <w:bookmarkStart w:id="57" w:name="_Toc30163"/>
      <w:bookmarkStart w:id="58" w:name="_Toc13944"/>
      <w:r>
        <w:rPr>
          <w:rFonts w:hint="eastAsia" w:ascii="宋体" w:hAnsi="宋体" w:cs="宋体"/>
          <w:color w:val="auto"/>
          <w:szCs w:val="21"/>
        </w:rPr>
        <w:t>2.采购代理机构信息</w:t>
      </w:r>
      <w:bookmarkEnd w:id="55"/>
      <w:bookmarkEnd w:id="56"/>
      <w:bookmarkEnd w:id="57"/>
      <w:bookmarkEnd w:id="58"/>
    </w:p>
    <w:p>
      <w:pPr>
        <w:spacing w:line="420" w:lineRule="exact"/>
        <w:ind w:firstLine="420" w:firstLineChars="200"/>
        <w:rPr>
          <w:rFonts w:ascii="宋体" w:hAnsi="宋体" w:cs="宋体"/>
          <w:color w:val="auto"/>
          <w:szCs w:val="21"/>
        </w:rPr>
      </w:pPr>
      <w:r>
        <w:rPr>
          <w:rFonts w:hint="eastAsia" w:ascii="宋体" w:hAnsi="宋体" w:cs="宋体"/>
          <w:color w:val="auto"/>
          <w:szCs w:val="21"/>
        </w:rPr>
        <w:t>名    称：</w:t>
      </w:r>
      <w:r>
        <w:rPr>
          <w:rFonts w:hint="eastAsia" w:ascii="宋体" w:hAnsi="宋体" w:cs="宋体"/>
          <w:color w:val="auto"/>
          <w:szCs w:val="21"/>
          <w:u w:val="single"/>
        </w:rPr>
        <w:t>国信招标集团股份有限公司</w:t>
      </w:r>
    </w:p>
    <w:p>
      <w:pPr>
        <w:spacing w:line="420" w:lineRule="exact"/>
        <w:ind w:firstLine="420" w:firstLineChars="200"/>
        <w:rPr>
          <w:rFonts w:ascii="宋体" w:hAnsi="宋体" w:cs="宋体"/>
          <w:color w:val="auto"/>
          <w:szCs w:val="21"/>
        </w:rPr>
      </w:pPr>
      <w:r>
        <w:rPr>
          <w:rFonts w:hint="eastAsia" w:ascii="宋体" w:hAnsi="宋体" w:cs="宋体"/>
          <w:color w:val="auto"/>
          <w:szCs w:val="21"/>
        </w:rPr>
        <w:t>地　　址：</w:t>
      </w:r>
      <w:r>
        <w:rPr>
          <w:rFonts w:hint="eastAsia" w:ascii="宋体" w:hAnsi="宋体" w:cs="宋体"/>
          <w:color w:val="auto"/>
          <w:szCs w:val="21"/>
          <w:u w:val="single"/>
        </w:rPr>
        <w:t>武汉市洪山区徐东大街97号龙潭SOMO  A座16楼</w:t>
      </w:r>
    </w:p>
    <w:p>
      <w:pPr>
        <w:spacing w:line="420" w:lineRule="exact"/>
        <w:ind w:firstLine="420" w:firstLineChars="200"/>
        <w:rPr>
          <w:rFonts w:ascii="宋体" w:hAnsi="宋体" w:cs="宋体"/>
          <w:color w:val="auto"/>
          <w:szCs w:val="21"/>
        </w:rPr>
      </w:pPr>
      <w:r>
        <w:rPr>
          <w:rFonts w:hint="eastAsia" w:ascii="宋体" w:hAnsi="宋体" w:cs="宋体"/>
          <w:color w:val="auto"/>
          <w:szCs w:val="21"/>
        </w:rPr>
        <w:t>联系方式：</w:t>
      </w:r>
      <w:r>
        <w:rPr>
          <w:rFonts w:hint="eastAsia" w:ascii="宋体" w:hAnsi="宋体" w:cs="宋体"/>
          <w:color w:val="auto"/>
          <w:szCs w:val="21"/>
          <w:u w:val="single"/>
        </w:rPr>
        <w:t>戴唯、王承丹、赵金媛 027-87238091</w:t>
      </w:r>
      <w:r>
        <w:rPr>
          <w:rFonts w:hint="eastAsia" w:ascii="宋体" w:hAnsi="宋体" w:cs="宋体"/>
          <w:color w:val="auto"/>
          <w:szCs w:val="21"/>
        </w:rPr>
        <w:t>　</w:t>
      </w:r>
    </w:p>
    <w:p>
      <w:pPr>
        <w:spacing w:line="420" w:lineRule="exact"/>
        <w:ind w:firstLine="420" w:firstLineChars="200"/>
        <w:rPr>
          <w:rFonts w:ascii="宋体" w:hAnsi="宋体" w:cs="宋体"/>
          <w:color w:val="auto"/>
          <w:szCs w:val="21"/>
        </w:rPr>
      </w:pPr>
      <w:bookmarkStart w:id="59" w:name="_Toc23733"/>
      <w:bookmarkStart w:id="60" w:name="_Toc32111"/>
      <w:bookmarkStart w:id="61" w:name="_Toc28165"/>
      <w:bookmarkStart w:id="62" w:name="_Toc16687"/>
      <w:r>
        <w:rPr>
          <w:rFonts w:hint="eastAsia" w:ascii="宋体" w:hAnsi="宋体" w:cs="宋体"/>
          <w:color w:val="auto"/>
          <w:szCs w:val="21"/>
        </w:rPr>
        <w:t>3.项目联系方式</w:t>
      </w:r>
      <w:bookmarkEnd w:id="59"/>
      <w:bookmarkEnd w:id="60"/>
      <w:bookmarkEnd w:id="61"/>
      <w:bookmarkEnd w:id="62"/>
    </w:p>
    <w:p>
      <w:pPr>
        <w:spacing w:line="420" w:lineRule="exact"/>
        <w:ind w:firstLine="420" w:firstLineChars="200"/>
        <w:rPr>
          <w:rFonts w:ascii="宋体" w:hAnsi="宋体" w:cs="宋体"/>
          <w:color w:val="auto"/>
          <w:szCs w:val="21"/>
        </w:rPr>
      </w:pPr>
      <w:r>
        <w:rPr>
          <w:rFonts w:hint="eastAsia" w:ascii="宋体" w:hAnsi="宋体" w:cs="宋体"/>
          <w:color w:val="auto"/>
          <w:szCs w:val="21"/>
        </w:rPr>
        <w:t>项目联系人：</w:t>
      </w:r>
      <w:r>
        <w:rPr>
          <w:rFonts w:hint="eastAsia" w:ascii="宋体" w:hAnsi="宋体" w:cs="宋体"/>
          <w:color w:val="auto"/>
          <w:szCs w:val="21"/>
          <w:u w:val="single"/>
        </w:rPr>
        <w:t>戴唯、王承丹、赵金媛</w:t>
      </w:r>
    </w:p>
    <w:p>
      <w:pPr>
        <w:spacing w:line="420" w:lineRule="exact"/>
        <w:ind w:firstLine="420" w:firstLineChars="200"/>
        <w:rPr>
          <w:rFonts w:ascii="宋体" w:hAnsi="宋体" w:cs="宋体"/>
          <w:color w:val="auto"/>
          <w:sz w:val="24"/>
        </w:rPr>
      </w:pPr>
      <w:r>
        <w:rPr>
          <w:rFonts w:hint="eastAsia" w:ascii="宋体" w:hAnsi="宋体" w:cs="宋体"/>
          <w:color w:val="auto"/>
          <w:szCs w:val="21"/>
        </w:rPr>
        <w:t>电　　  话：</w:t>
      </w:r>
      <w:r>
        <w:rPr>
          <w:rFonts w:hint="eastAsia" w:ascii="宋体" w:hAnsi="宋体" w:cs="宋体"/>
          <w:color w:val="auto"/>
          <w:szCs w:val="21"/>
          <w:u w:val="single"/>
        </w:rPr>
        <w:t>027-87238091</w:t>
      </w:r>
      <w:bookmarkEnd w:id="9"/>
      <w:bookmarkEnd w:id="10"/>
    </w:p>
    <w:p>
      <w:pPr>
        <w:spacing w:line="420" w:lineRule="exact"/>
        <w:ind w:firstLine="480" w:firstLineChars="200"/>
        <w:rPr>
          <w:rFonts w:ascii="宋体" w:hAnsi="宋体" w:cs="宋体"/>
          <w:color w:val="auto"/>
          <w:sz w:val="24"/>
        </w:rPr>
      </w:pPr>
    </w:p>
    <w:p>
      <w:pPr>
        <w:autoSpaceDE w:val="0"/>
        <w:autoSpaceDN w:val="0"/>
        <w:adjustRightInd w:val="0"/>
        <w:snapToGrid w:val="0"/>
        <w:spacing w:after="156" w:afterLines="50"/>
        <w:jc w:val="center"/>
        <w:outlineLvl w:val="0"/>
        <w:rPr>
          <w:rFonts w:ascii="宋体" w:hAnsi="宋体" w:cs="宋体"/>
          <w:color w:val="auto"/>
          <w:kern w:val="0"/>
          <w:sz w:val="32"/>
          <w:szCs w:val="32"/>
        </w:rPr>
      </w:pPr>
      <w:r>
        <w:rPr>
          <w:rFonts w:hint="eastAsia" w:ascii="宋体" w:hAnsi="宋体" w:cs="宋体"/>
          <w:color w:val="auto"/>
          <w:kern w:val="0"/>
          <w:sz w:val="32"/>
          <w:szCs w:val="32"/>
        </w:rPr>
        <w:br w:type="page"/>
      </w:r>
      <w:bookmarkStart w:id="63" w:name="_Toc4332"/>
      <w:r>
        <w:rPr>
          <w:rFonts w:hint="eastAsia" w:ascii="宋体" w:hAnsi="宋体" w:cs="宋体"/>
          <w:color w:val="auto"/>
          <w:kern w:val="0"/>
          <w:sz w:val="32"/>
          <w:szCs w:val="32"/>
        </w:rPr>
        <w:t>第二章供应商须知</w:t>
      </w:r>
      <w:bookmarkEnd w:id="5"/>
      <w:bookmarkEnd w:id="63"/>
    </w:p>
    <w:p>
      <w:pPr>
        <w:autoSpaceDE w:val="0"/>
        <w:autoSpaceDN w:val="0"/>
        <w:adjustRightInd w:val="0"/>
        <w:snapToGrid w:val="0"/>
        <w:spacing w:after="156" w:afterLines="50"/>
        <w:jc w:val="center"/>
        <w:outlineLvl w:val="1"/>
        <w:rPr>
          <w:rFonts w:ascii="宋体" w:hAnsi="宋体" w:cs="宋体"/>
          <w:color w:val="auto"/>
          <w:kern w:val="0"/>
          <w:sz w:val="28"/>
          <w:szCs w:val="28"/>
        </w:rPr>
      </w:pPr>
      <w:bookmarkStart w:id="64" w:name="_Toc4248"/>
      <w:bookmarkStart w:id="65" w:name="_Toc1167"/>
      <w:r>
        <w:rPr>
          <w:rFonts w:hint="eastAsia" w:ascii="宋体" w:hAnsi="宋体" w:cs="宋体"/>
          <w:color w:val="auto"/>
          <w:kern w:val="0"/>
          <w:sz w:val="28"/>
          <w:szCs w:val="28"/>
        </w:rPr>
        <w:t>（一）供应商须知前附表</w:t>
      </w:r>
      <w:bookmarkEnd w:id="64"/>
      <w:bookmarkEnd w:id="65"/>
    </w:p>
    <w:tbl>
      <w:tblPr>
        <w:tblStyle w:val="74"/>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51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条款号</w:t>
            </w:r>
          </w:p>
        </w:tc>
        <w:tc>
          <w:tcPr>
            <w:tcW w:w="25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条 款 名 称</w:t>
            </w:r>
          </w:p>
        </w:tc>
        <w:tc>
          <w:tcPr>
            <w:tcW w:w="5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color w:val="auto"/>
                <w:kern w:val="0"/>
                <w:szCs w:val="21"/>
              </w:rPr>
            </w:pPr>
            <w:r>
              <w:rPr>
                <w:rFonts w:hint="eastAsia" w:ascii="宋体" w:hAnsi="宋体" w:cs="宋体"/>
                <w:color w:val="auto"/>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left="311" w:leftChars="148"/>
              <w:rPr>
                <w:rFonts w:ascii="宋体" w:hAnsi="宋体" w:cs="宋体"/>
                <w:color w:val="auto"/>
                <w:kern w:val="0"/>
                <w:szCs w:val="21"/>
              </w:rPr>
            </w:pPr>
            <w:r>
              <w:rPr>
                <w:rFonts w:hint="eastAsia" w:ascii="宋体" w:hAnsi="宋体" w:cs="宋体"/>
                <w:color w:val="auto"/>
                <w:kern w:val="0"/>
                <w:szCs w:val="21"/>
              </w:rPr>
              <w:t>1.1.2</w:t>
            </w:r>
          </w:p>
        </w:tc>
        <w:tc>
          <w:tcPr>
            <w:tcW w:w="25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color w:val="auto"/>
                <w:kern w:val="0"/>
                <w:szCs w:val="21"/>
              </w:rPr>
            </w:pPr>
            <w:r>
              <w:rPr>
                <w:rFonts w:hint="eastAsia" w:ascii="宋体" w:hAnsi="宋体" w:cs="宋体"/>
                <w:color w:val="auto"/>
                <w:kern w:val="0"/>
                <w:szCs w:val="21"/>
              </w:rPr>
              <w:t>采购人</w:t>
            </w:r>
          </w:p>
        </w:tc>
        <w:tc>
          <w:tcPr>
            <w:tcW w:w="5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color w:val="auto"/>
                <w:kern w:val="0"/>
                <w:szCs w:val="21"/>
              </w:rPr>
            </w:pPr>
            <w:r>
              <w:rPr>
                <w:rFonts w:hint="eastAsia" w:ascii="宋体" w:hAnsi="宋体" w:cs="宋体"/>
                <w:color w:val="auto"/>
                <w:kern w:val="0"/>
                <w:szCs w:val="21"/>
              </w:rPr>
              <w:t>华中农业大学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left="311" w:leftChars="148"/>
              <w:rPr>
                <w:rFonts w:ascii="宋体" w:hAnsi="宋体" w:cs="宋体"/>
                <w:color w:val="auto"/>
                <w:szCs w:val="21"/>
              </w:rPr>
            </w:pPr>
            <w:r>
              <w:rPr>
                <w:rFonts w:hint="eastAsia" w:ascii="宋体" w:hAnsi="宋体" w:cs="宋体"/>
                <w:color w:val="auto"/>
                <w:kern w:val="0"/>
                <w:szCs w:val="21"/>
              </w:rPr>
              <w:t>1.1.3</w:t>
            </w:r>
          </w:p>
        </w:tc>
        <w:tc>
          <w:tcPr>
            <w:tcW w:w="25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color w:val="auto"/>
                <w:kern w:val="0"/>
                <w:szCs w:val="21"/>
              </w:rPr>
            </w:pPr>
            <w:r>
              <w:rPr>
                <w:rFonts w:hint="eastAsia" w:ascii="宋体" w:hAnsi="宋体" w:cs="宋体"/>
                <w:color w:val="auto"/>
                <w:kern w:val="0"/>
                <w:szCs w:val="21"/>
              </w:rPr>
              <w:t>采购代理机构</w:t>
            </w:r>
          </w:p>
        </w:tc>
        <w:tc>
          <w:tcPr>
            <w:tcW w:w="5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color w:val="auto"/>
                <w:kern w:val="0"/>
                <w:szCs w:val="21"/>
              </w:rPr>
            </w:pPr>
            <w:r>
              <w:rPr>
                <w:rFonts w:hint="eastAsia" w:ascii="宋体" w:hAnsi="宋体" w:cs="宋体"/>
                <w:color w:val="auto"/>
                <w:kern w:val="0"/>
                <w:szCs w:val="21"/>
              </w:rPr>
              <w:t>国信招标集团股份有限公司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1.3</w:t>
            </w:r>
          </w:p>
        </w:tc>
        <w:tc>
          <w:tcPr>
            <w:tcW w:w="25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核心产品</w:t>
            </w:r>
          </w:p>
        </w:tc>
        <w:tc>
          <w:tcPr>
            <w:tcW w:w="5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□服务采购</w:t>
            </w:r>
          </w:p>
          <w:p>
            <w:pPr>
              <w:autoSpaceDE w:val="0"/>
              <w:autoSpaceDN w:val="0"/>
              <w:adjustRightInd w:val="0"/>
              <w:snapToGrid w:val="0"/>
              <w:spacing w:line="312"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sym w:font="Wingdings 2" w:char="0052"/>
            </w:r>
            <w:r>
              <w:rPr>
                <w:rFonts w:hint="eastAsia" w:asciiTheme="minorEastAsia" w:hAnsiTheme="minorEastAsia" w:eastAsiaTheme="minorEastAsia" w:cstheme="minorEastAsia"/>
                <w:color w:val="auto"/>
                <w:kern w:val="0"/>
                <w:szCs w:val="21"/>
              </w:rPr>
              <w:t>单一产品采购，核心产品：核心交换机</w:t>
            </w:r>
          </w:p>
          <w:p>
            <w:pPr>
              <w:autoSpaceDE w:val="0"/>
              <w:autoSpaceDN w:val="0"/>
              <w:adjustRightInd w:val="0"/>
              <w:snapToGrid w:val="0"/>
              <w:spacing w:line="312" w:lineRule="auto"/>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□非单一产品采购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rPr>
              <w:fldChar w:fldCharType="begin"/>
            </w:r>
            <w:r>
              <w:rPr>
                <w:rFonts w:hint="eastAsia" w:ascii="宋体" w:hAnsi="宋体" w:cs="宋体"/>
                <w:color w:val="auto"/>
              </w:rPr>
              <w:instrText xml:space="preserve"> REF _Ref527101463 \r \h  \* MERGEFORMAT </w:instrText>
            </w:r>
            <w:r>
              <w:rPr>
                <w:rFonts w:hint="eastAsia" w:ascii="宋体" w:hAnsi="宋体" w:cs="宋体"/>
                <w:color w:val="auto"/>
              </w:rPr>
              <w:fldChar w:fldCharType="separate"/>
            </w:r>
            <w:r>
              <w:rPr>
                <w:rFonts w:hint="eastAsia" w:ascii="宋体" w:hAnsi="宋体" w:cs="宋体"/>
                <w:color w:val="auto"/>
                <w:kern w:val="0"/>
                <w:szCs w:val="21"/>
              </w:rPr>
              <w:t>1.7</w:t>
            </w:r>
            <w:r>
              <w:rPr>
                <w:rFonts w:hint="eastAsia" w:ascii="宋体" w:hAnsi="宋体" w:cs="宋体"/>
                <w:color w:val="auto"/>
              </w:rPr>
              <w:fldChar w:fldCharType="end"/>
            </w:r>
          </w:p>
        </w:tc>
        <w:tc>
          <w:tcPr>
            <w:tcW w:w="25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分包</w:t>
            </w:r>
          </w:p>
        </w:tc>
        <w:tc>
          <w:tcPr>
            <w:tcW w:w="5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不允许</w:t>
            </w:r>
          </w:p>
          <w:p>
            <w:pPr>
              <w:autoSpaceDE w:val="0"/>
              <w:autoSpaceDN w:val="0"/>
              <w:adjustRightInd w:val="0"/>
              <w:snapToGrid w:val="0"/>
              <w:spacing w:line="360" w:lineRule="auto"/>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允  许：</w:t>
            </w:r>
          </w:p>
          <w:p>
            <w:pPr>
              <w:autoSpaceDE w:val="0"/>
              <w:autoSpaceDN w:val="0"/>
              <w:adjustRightInd w:val="0"/>
              <w:snapToGrid w:val="0"/>
              <w:spacing w:line="360" w:lineRule="auto"/>
              <w:ind w:left="311" w:leftChars="148"/>
              <w:rPr>
                <w:rFonts w:ascii="宋体" w:hAnsi="宋体" w:cs="宋体"/>
                <w:color w:val="auto"/>
                <w:kern w:val="0"/>
                <w:szCs w:val="21"/>
              </w:rPr>
            </w:pPr>
            <w:r>
              <w:rPr>
                <w:rFonts w:hint="eastAsia" w:ascii="宋体" w:hAnsi="宋体" w:cs="宋体"/>
                <w:color w:val="auto"/>
                <w:kern w:val="0"/>
                <w:szCs w:val="21"/>
              </w:rPr>
              <w:t>分包内容要求：/</w:t>
            </w:r>
          </w:p>
          <w:p>
            <w:pPr>
              <w:autoSpaceDE w:val="0"/>
              <w:autoSpaceDN w:val="0"/>
              <w:adjustRightInd w:val="0"/>
              <w:snapToGrid w:val="0"/>
              <w:spacing w:line="360" w:lineRule="auto"/>
              <w:ind w:left="311" w:leftChars="148"/>
              <w:rPr>
                <w:rFonts w:ascii="宋体" w:hAnsi="宋体" w:cs="宋体"/>
                <w:color w:val="auto"/>
                <w:kern w:val="0"/>
                <w:szCs w:val="21"/>
              </w:rPr>
            </w:pPr>
            <w:r>
              <w:rPr>
                <w:rFonts w:hint="eastAsia" w:ascii="宋体" w:hAnsi="宋体" w:cs="宋体"/>
                <w:color w:val="auto"/>
                <w:kern w:val="0"/>
                <w:szCs w:val="21"/>
              </w:rPr>
              <w:t>分包金额要求：/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rPr>
              <w:fldChar w:fldCharType="begin"/>
            </w:r>
            <w:r>
              <w:rPr>
                <w:rFonts w:hint="eastAsia" w:ascii="宋体" w:hAnsi="宋体" w:cs="宋体"/>
                <w:color w:val="auto"/>
              </w:rPr>
              <w:instrText xml:space="preserve"> REF _Ref527292580 \r \h  \* MERGEFORMAT </w:instrText>
            </w:r>
            <w:r>
              <w:rPr>
                <w:rFonts w:hint="eastAsia" w:ascii="宋体" w:hAnsi="宋体" w:cs="宋体"/>
                <w:color w:val="auto"/>
              </w:rPr>
              <w:fldChar w:fldCharType="separate"/>
            </w:r>
            <w:r>
              <w:rPr>
                <w:rFonts w:hint="eastAsia" w:ascii="宋体" w:hAnsi="宋体" w:cs="宋体"/>
                <w:color w:val="auto"/>
                <w:kern w:val="0"/>
                <w:szCs w:val="21"/>
              </w:rPr>
              <w:t>1.12.1</w:t>
            </w:r>
            <w:r>
              <w:rPr>
                <w:rFonts w:hint="eastAsia" w:ascii="宋体" w:hAnsi="宋体" w:cs="宋体"/>
                <w:color w:val="auto"/>
              </w:rPr>
              <w:fldChar w:fldCharType="end"/>
            </w:r>
          </w:p>
        </w:tc>
        <w:tc>
          <w:tcPr>
            <w:tcW w:w="25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现场踏勘</w:t>
            </w:r>
          </w:p>
        </w:tc>
        <w:tc>
          <w:tcPr>
            <w:tcW w:w="5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不组织</w:t>
            </w:r>
          </w:p>
          <w:p>
            <w:pPr>
              <w:autoSpaceDE w:val="0"/>
              <w:autoSpaceDN w:val="0"/>
              <w:adjustRightInd w:val="0"/>
              <w:snapToGrid w:val="0"/>
              <w:spacing w:line="360" w:lineRule="auto"/>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组  织：供应商自行踏勘现场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rPr>
              <w:fldChar w:fldCharType="begin"/>
            </w:r>
            <w:r>
              <w:rPr>
                <w:rFonts w:hint="eastAsia" w:ascii="宋体" w:hAnsi="宋体" w:cs="宋体"/>
                <w:color w:val="auto"/>
              </w:rPr>
              <w:instrText xml:space="preserve"> REF _Ref527101604 \r \h  \* MERGEFORMAT </w:instrText>
            </w:r>
            <w:r>
              <w:rPr>
                <w:rFonts w:hint="eastAsia" w:ascii="宋体" w:hAnsi="宋体" w:cs="宋体"/>
                <w:color w:val="auto"/>
              </w:rPr>
              <w:fldChar w:fldCharType="separate"/>
            </w:r>
            <w:r>
              <w:rPr>
                <w:rFonts w:hint="eastAsia" w:ascii="宋体" w:hAnsi="宋体" w:cs="宋体"/>
                <w:color w:val="auto"/>
                <w:kern w:val="0"/>
                <w:szCs w:val="21"/>
              </w:rPr>
              <w:t>2.2.2</w:t>
            </w:r>
            <w:r>
              <w:rPr>
                <w:rFonts w:hint="eastAsia" w:ascii="宋体" w:hAnsi="宋体" w:cs="宋体"/>
                <w:color w:val="auto"/>
              </w:rPr>
              <w:fldChar w:fldCharType="end"/>
            </w:r>
          </w:p>
        </w:tc>
        <w:tc>
          <w:tcPr>
            <w:tcW w:w="25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供应商询问或要求澄清的截止时间</w:t>
            </w:r>
          </w:p>
        </w:tc>
        <w:tc>
          <w:tcPr>
            <w:tcW w:w="5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left="27" w:leftChars="13"/>
              <w:rPr>
                <w:rFonts w:ascii="宋体" w:hAnsi="宋体" w:cs="宋体"/>
                <w:color w:val="auto"/>
                <w:szCs w:val="21"/>
              </w:rPr>
            </w:pPr>
            <w:r>
              <w:rPr>
                <w:rFonts w:hint="eastAsia" w:ascii="宋体" w:hAnsi="宋体" w:cs="宋体"/>
                <w:color w:val="auto"/>
              </w:rPr>
              <w:t>首次提</w:t>
            </w:r>
            <w:r>
              <w:rPr>
                <w:rFonts w:hint="eastAsia" w:ascii="宋体" w:hAnsi="宋体" w:cs="宋体"/>
                <w:color w:val="auto"/>
                <w:szCs w:val="21"/>
              </w:rPr>
              <w:t>交响应文件截止时间5日前</w:t>
            </w:r>
          </w:p>
          <w:p>
            <w:pPr>
              <w:autoSpaceDE w:val="0"/>
              <w:autoSpaceDN w:val="0"/>
              <w:adjustRightInd w:val="0"/>
              <w:snapToGrid w:val="0"/>
              <w:spacing w:line="360" w:lineRule="auto"/>
              <w:ind w:left="27" w:leftChars="13"/>
              <w:rPr>
                <w:rFonts w:ascii="宋体" w:hAnsi="宋体" w:cs="宋体"/>
                <w:color w:val="auto"/>
              </w:rPr>
            </w:pPr>
            <w:r>
              <w:rPr>
                <w:rFonts w:hint="eastAsia" w:ascii="宋体" w:hAnsi="宋体" w:cs="宋体"/>
                <w:color w:val="auto"/>
                <w:szCs w:val="21"/>
              </w:rPr>
              <w:t>供应商需在提问截止时间前，将提疑函原件委派专人或通过邮寄方式送达采购代理机构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rPr>
              <w:fldChar w:fldCharType="begin"/>
            </w:r>
            <w:r>
              <w:rPr>
                <w:rFonts w:hint="eastAsia" w:ascii="宋体" w:hAnsi="宋体" w:cs="宋体"/>
                <w:color w:val="auto"/>
              </w:rPr>
              <w:instrText xml:space="preserve"> REF _Ref527101721 \r \h  \* MERGEFORMAT </w:instrText>
            </w:r>
            <w:r>
              <w:rPr>
                <w:rFonts w:hint="eastAsia" w:ascii="宋体" w:hAnsi="宋体" w:cs="宋体"/>
                <w:color w:val="auto"/>
              </w:rPr>
              <w:fldChar w:fldCharType="separate"/>
            </w:r>
            <w:r>
              <w:rPr>
                <w:rFonts w:hint="eastAsia" w:ascii="宋体" w:hAnsi="宋体" w:cs="宋体"/>
                <w:color w:val="auto"/>
                <w:kern w:val="0"/>
                <w:szCs w:val="21"/>
              </w:rPr>
              <w:t>2.3</w:t>
            </w:r>
            <w:r>
              <w:rPr>
                <w:rFonts w:hint="eastAsia" w:ascii="宋体" w:hAnsi="宋体" w:cs="宋体"/>
                <w:color w:val="auto"/>
              </w:rPr>
              <w:fldChar w:fldCharType="end"/>
            </w:r>
          </w:p>
        </w:tc>
        <w:tc>
          <w:tcPr>
            <w:tcW w:w="25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outlineLvl w:val="0"/>
              <w:rPr>
                <w:rFonts w:ascii="宋体" w:hAnsi="宋体" w:cs="宋体"/>
                <w:color w:val="auto"/>
                <w:kern w:val="0"/>
                <w:szCs w:val="21"/>
              </w:rPr>
            </w:pPr>
            <w:bookmarkStart w:id="66" w:name="_Toc5455"/>
            <w:bookmarkStart w:id="67" w:name="_Toc27369"/>
            <w:r>
              <w:rPr>
                <w:rFonts w:hint="eastAsia" w:ascii="宋体" w:hAnsi="宋体" w:cs="宋体"/>
                <w:color w:val="auto"/>
                <w:kern w:val="0"/>
                <w:szCs w:val="21"/>
              </w:rPr>
              <w:t>质疑函送达方式</w:t>
            </w:r>
            <w:bookmarkEnd w:id="66"/>
            <w:bookmarkEnd w:id="67"/>
          </w:p>
        </w:tc>
        <w:tc>
          <w:tcPr>
            <w:tcW w:w="5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left="27" w:leftChars="13"/>
              <w:rPr>
                <w:rFonts w:ascii="宋体" w:hAnsi="宋体" w:cs="宋体"/>
                <w:color w:val="auto"/>
                <w:kern w:val="0"/>
                <w:szCs w:val="21"/>
              </w:rPr>
            </w:pPr>
            <w:r>
              <w:rPr>
                <w:rFonts w:hint="eastAsia" w:ascii="宋体" w:hAnsi="宋体" w:cs="宋体"/>
                <w:color w:val="auto"/>
                <w:kern w:val="0"/>
                <w:szCs w:val="21"/>
              </w:rPr>
              <w:t>质疑提出人应将质疑函原件委派专人或通过邮寄方式</w:t>
            </w:r>
            <w:r>
              <w:rPr>
                <w:rFonts w:hint="eastAsia" w:ascii="宋体" w:hAnsi="宋体" w:cs="宋体"/>
                <w:color w:val="auto"/>
                <w:szCs w:val="21"/>
              </w:rPr>
              <w:t>在知道或者应知其权益受到损害之日起7个工作日内</w:t>
            </w:r>
            <w:r>
              <w:rPr>
                <w:rFonts w:hint="eastAsia" w:ascii="宋体" w:hAnsi="宋体" w:cs="宋体"/>
                <w:color w:val="auto"/>
                <w:kern w:val="0"/>
                <w:szCs w:val="21"/>
              </w:rPr>
              <w:t>送达采购代理机构。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rPr>
              <w:fldChar w:fldCharType="begin"/>
            </w:r>
            <w:r>
              <w:rPr>
                <w:rFonts w:hint="eastAsia" w:ascii="宋体" w:hAnsi="宋体" w:cs="宋体"/>
                <w:color w:val="auto"/>
              </w:rPr>
              <w:instrText xml:space="preserve"> REF _Ref527102185 \r \h  \* MERGEFORMAT </w:instrText>
            </w:r>
            <w:r>
              <w:rPr>
                <w:rFonts w:hint="eastAsia" w:ascii="宋体" w:hAnsi="宋体" w:cs="宋体"/>
                <w:color w:val="auto"/>
              </w:rPr>
              <w:fldChar w:fldCharType="separate"/>
            </w:r>
            <w:r>
              <w:rPr>
                <w:rFonts w:hint="eastAsia" w:ascii="宋体" w:hAnsi="宋体" w:cs="宋体"/>
                <w:color w:val="auto"/>
                <w:kern w:val="0"/>
                <w:szCs w:val="21"/>
              </w:rPr>
              <w:t>3.6.1</w:t>
            </w:r>
            <w:r>
              <w:rPr>
                <w:rFonts w:hint="eastAsia" w:ascii="宋体" w:hAnsi="宋体" w:cs="宋体"/>
                <w:color w:val="auto"/>
              </w:rPr>
              <w:fldChar w:fldCharType="end"/>
            </w:r>
          </w:p>
        </w:tc>
        <w:tc>
          <w:tcPr>
            <w:tcW w:w="25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left="27" w:leftChars="13"/>
              <w:rPr>
                <w:rFonts w:ascii="宋体" w:hAnsi="宋体" w:cs="宋体"/>
                <w:color w:val="auto"/>
                <w:kern w:val="0"/>
                <w:szCs w:val="21"/>
              </w:rPr>
            </w:pPr>
            <w:bookmarkStart w:id="68" w:name="_Toc17470"/>
            <w:r>
              <w:rPr>
                <w:rFonts w:hint="eastAsia" w:ascii="宋体" w:hAnsi="宋体" w:cs="宋体"/>
                <w:color w:val="auto"/>
                <w:kern w:val="0"/>
                <w:szCs w:val="21"/>
              </w:rPr>
              <w:t>响应文件有效期</w:t>
            </w:r>
            <w:bookmarkEnd w:id="68"/>
          </w:p>
        </w:tc>
        <w:tc>
          <w:tcPr>
            <w:tcW w:w="5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left="27" w:leftChars="13"/>
              <w:rPr>
                <w:rFonts w:ascii="宋体" w:hAnsi="宋体" w:cs="宋体"/>
                <w:color w:val="auto"/>
                <w:kern w:val="0"/>
                <w:szCs w:val="21"/>
              </w:rPr>
            </w:pPr>
            <w:r>
              <w:rPr>
                <w:rFonts w:hint="eastAsia" w:ascii="宋体" w:hAnsi="宋体" w:cs="宋体"/>
                <w:color w:val="auto"/>
                <w:kern w:val="0"/>
                <w:szCs w:val="21"/>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rPr>
              <w:fldChar w:fldCharType="begin"/>
            </w:r>
            <w:r>
              <w:rPr>
                <w:rFonts w:hint="eastAsia" w:ascii="宋体" w:hAnsi="宋体" w:cs="宋体"/>
                <w:color w:val="auto"/>
              </w:rPr>
              <w:instrText xml:space="preserve"> REF _Ref419361076 \r \h  \* MERGEFORMAT </w:instrText>
            </w:r>
            <w:r>
              <w:rPr>
                <w:rFonts w:hint="eastAsia" w:ascii="宋体" w:hAnsi="宋体" w:cs="宋体"/>
                <w:color w:val="auto"/>
              </w:rPr>
              <w:fldChar w:fldCharType="separate"/>
            </w:r>
            <w:r>
              <w:rPr>
                <w:rFonts w:hint="eastAsia" w:ascii="宋体" w:hAnsi="宋体" w:cs="宋体"/>
                <w:color w:val="auto"/>
                <w:kern w:val="0"/>
                <w:szCs w:val="21"/>
              </w:rPr>
              <w:t>3.7.1</w:t>
            </w:r>
            <w:r>
              <w:rPr>
                <w:rFonts w:hint="eastAsia" w:ascii="宋体" w:hAnsi="宋体" w:cs="宋体"/>
                <w:color w:val="auto"/>
              </w:rPr>
              <w:fldChar w:fldCharType="end"/>
            </w:r>
          </w:p>
        </w:tc>
        <w:tc>
          <w:tcPr>
            <w:tcW w:w="25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left="27" w:leftChars="13"/>
              <w:rPr>
                <w:rFonts w:ascii="宋体" w:hAnsi="宋体" w:cs="宋体"/>
                <w:color w:val="auto"/>
                <w:kern w:val="0"/>
                <w:szCs w:val="21"/>
              </w:rPr>
            </w:pPr>
            <w:bookmarkStart w:id="69" w:name="_Toc32385"/>
            <w:r>
              <w:rPr>
                <w:rFonts w:hint="eastAsia" w:ascii="宋体" w:hAnsi="宋体" w:cs="宋体"/>
                <w:color w:val="auto"/>
                <w:kern w:val="0"/>
                <w:szCs w:val="21"/>
              </w:rPr>
              <w:t>磋商保证金</w:t>
            </w:r>
            <w:bookmarkEnd w:id="69"/>
          </w:p>
        </w:tc>
        <w:tc>
          <w:tcPr>
            <w:tcW w:w="5675" w:type="dxa"/>
            <w:tcBorders>
              <w:top w:val="single" w:color="auto" w:sz="4" w:space="0"/>
              <w:left w:val="single" w:color="auto" w:sz="4" w:space="0"/>
              <w:bottom w:val="single" w:color="auto" w:sz="4" w:space="0"/>
              <w:right w:val="single" w:color="auto" w:sz="4" w:space="0"/>
            </w:tcBorders>
            <w:vAlign w:val="center"/>
          </w:tcPr>
          <w:p>
            <w:pPr>
              <w:pStyle w:val="221"/>
              <w:numPr>
                <w:ilvl w:val="0"/>
                <w:numId w:val="1"/>
              </w:numPr>
              <w:tabs>
                <w:tab w:val="left" w:pos="312"/>
              </w:tabs>
              <w:spacing w:before="0" w:beforeAutospacing="0" w:after="0" w:afterAutospacing="0" w:line="360" w:lineRule="auto"/>
              <w:jc w:val="both"/>
              <w:rPr>
                <w:color w:val="auto"/>
                <w:sz w:val="21"/>
                <w:szCs w:val="21"/>
              </w:rPr>
            </w:pPr>
            <w:r>
              <w:rPr>
                <w:rFonts w:hint="eastAsia"/>
                <w:color w:val="auto"/>
                <w:sz w:val="21"/>
                <w:szCs w:val="21"/>
              </w:rPr>
              <w:t>磋商保证金须以供应商的名义递交，在磋商响应文件首次递交截止时间前达到下述账户。允许联合体参与采购的，采购保证金可以由联合体中的一方或者多方共同交纳保证金。</w:t>
            </w:r>
          </w:p>
          <w:p>
            <w:pPr>
              <w:pStyle w:val="221"/>
              <w:numPr>
                <w:ilvl w:val="0"/>
                <w:numId w:val="1"/>
              </w:numPr>
              <w:tabs>
                <w:tab w:val="left" w:pos="312"/>
              </w:tabs>
              <w:spacing w:before="0" w:beforeAutospacing="0" w:after="0" w:afterAutospacing="0" w:line="360" w:lineRule="auto"/>
              <w:jc w:val="both"/>
              <w:rPr>
                <w:color w:val="auto"/>
                <w:sz w:val="21"/>
                <w:szCs w:val="21"/>
              </w:rPr>
            </w:pPr>
            <w:r>
              <w:rPr>
                <w:rFonts w:hint="eastAsia"/>
                <w:color w:val="auto"/>
                <w:sz w:val="21"/>
                <w:szCs w:val="21"/>
              </w:rPr>
              <w:t>金额：</w:t>
            </w:r>
            <w:r>
              <w:rPr>
                <w:rFonts w:hint="eastAsia"/>
                <w:color w:val="auto"/>
                <w:kern w:val="2"/>
                <w:sz w:val="21"/>
                <w:szCs w:val="21"/>
              </w:rPr>
              <w:t>5000元</w:t>
            </w:r>
          </w:p>
          <w:p>
            <w:pPr>
              <w:pStyle w:val="221"/>
              <w:numPr>
                <w:ilvl w:val="0"/>
                <w:numId w:val="1"/>
              </w:numPr>
              <w:tabs>
                <w:tab w:val="left" w:pos="312"/>
              </w:tabs>
              <w:spacing w:before="0" w:beforeAutospacing="0" w:after="0" w:afterAutospacing="0" w:line="360" w:lineRule="auto"/>
              <w:jc w:val="both"/>
              <w:rPr>
                <w:color w:val="auto"/>
                <w:sz w:val="21"/>
                <w:szCs w:val="21"/>
              </w:rPr>
            </w:pPr>
            <w:r>
              <w:rPr>
                <w:rFonts w:hint="eastAsia"/>
                <w:color w:val="auto"/>
                <w:sz w:val="21"/>
                <w:szCs w:val="21"/>
              </w:rPr>
              <w:t>递交方式：包括电汇、支票、汇票、本票或者金融机构、担保机构出具的保函等非现金形式。</w:t>
            </w:r>
          </w:p>
          <w:p>
            <w:pPr>
              <w:widowControl/>
              <w:wordWrap w:val="0"/>
              <w:spacing w:line="360" w:lineRule="auto"/>
              <w:jc w:val="left"/>
              <w:rPr>
                <w:rFonts w:ascii="宋体" w:hAnsi="宋体" w:cs="宋体"/>
                <w:color w:val="auto"/>
                <w:szCs w:val="21"/>
              </w:rPr>
            </w:pPr>
            <w:r>
              <w:rPr>
                <w:rFonts w:hint="eastAsia" w:ascii="宋体" w:hAnsi="宋体" w:cs="宋体"/>
                <w:color w:val="auto"/>
                <w:szCs w:val="21"/>
              </w:rPr>
              <w:t>4.收取采购保证金的帐户信息如下：</w:t>
            </w:r>
          </w:p>
          <w:p>
            <w:pPr>
              <w:widowControl/>
              <w:wordWrap w:val="0"/>
              <w:spacing w:line="360" w:lineRule="auto"/>
              <w:ind w:firstLine="210" w:firstLineChars="100"/>
              <w:jc w:val="left"/>
              <w:rPr>
                <w:rFonts w:ascii="宋体" w:hAnsi="宋体" w:cs="宋体"/>
                <w:color w:val="auto"/>
                <w:szCs w:val="21"/>
              </w:rPr>
            </w:pPr>
            <w:r>
              <w:rPr>
                <w:rFonts w:hint="eastAsia" w:ascii="宋体" w:hAnsi="宋体" w:cs="宋体"/>
                <w:color w:val="auto"/>
                <w:szCs w:val="21"/>
              </w:rPr>
              <w:t>户名：</w:t>
            </w:r>
            <w:r>
              <w:rPr>
                <w:rFonts w:hint="eastAsia" w:asciiTheme="minorEastAsia" w:hAnsiTheme="minorEastAsia" w:eastAsiaTheme="minorEastAsia" w:cstheme="minorEastAsia"/>
                <w:color w:val="auto"/>
                <w:kern w:val="0"/>
                <w:szCs w:val="21"/>
              </w:rPr>
              <w:t>国信招标集团股份有限公司湖北分公司</w:t>
            </w:r>
            <w:r>
              <w:rPr>
                <w:rFonts w:hint="eastAsia" w:ascii="宋体" w:hAnsi="宋体" w:cs="宋体"/>
                <w:color w:val="auto"/>
                <w:szCs w:val="21"/>
              </w:rPr>
              <w:t>；</w:t>
            </w:r>
          </w:p>
          <w:p>
            <w:pPr>
              <w:widowControl/>
              <w:wordWrap w:val="0"/>
              <w:spacing w:line="360" w:lineRule="auto"/>
              <w:ind w:firstLine="210" w:firstLineChars="100"/>
              <w:jc w:val="left"/>
              <w:rPr>
                <w:rFonts w:ascii="宋体" w:hAnsi="宋体" w:cs="宋体"/>
                <w:color w:val="auto"/>
                <w:szCs w:val="21"/>
              </w:rPr>
            </w:pPr>
            <w:r>
              <w:rPr>
                <w:rFonts w:hint="eastAsia" w:ascii="宋体" w:hAnsi="宋体" w:cs="宋体"/>
                <w:color w:val="auto"/>
                <w:szCs w:val="21"/>
              </w:rPr>
              <w:t>开户行：</w:t>
            </w:r>
            <w:r>
              <w:rPr>
                <w:rFonts w:hint="eastAsia" w:asciiTheme="minorEastAsia" w:hAnsiTheme="minorEastAsia" w:eastAsiaTheme="minorEastAsia" w:cstheme="minorEastAsia"/>
                <w:color w:val="auto"/>
                <w:kern w:val="0"/>
                <w:szCs w:val="21"/>
              </w:rPr>
              <w:t>招商银行武汉分行水果湖支</w:t>
            </w:r>
            <w:r>
              <w:rPr>
                <w:rFonts w:hint="eastAsia" w:asciiTheme="minorEastAsia" w:hAnsiTheme="minorEastAsia" w:eastAsiaTheme="minorEastAsia" w:cstheme="minorEastAsia"/>
                <w:color w:val="auto"/>
                <w:kern w:val="0"/>
                <w:szCs w:val="21"/>
              </w:rPr>
              <w:t>行</w:t>
            </w:r>
          </w:p>
          <w:p>
            <w:pPr>
              <w:widowControl/>
              <w:wordWrap w:val="0"/>
              <w:spacing w:line="360" w:lineRule="auto"/>
              <w:ind w:firstLine="210" w:firstLineChars="100"/>
              <w:jc w:val="left"/>
              <w:rPr>
                <w:rFonts w:ascii="宋体" w:hAnsi="宋体" w:cs="宋体"/>
                <w:color w:val="auto"/>
                <w:szCs w:val="21"/>
              </w:rPr>
            </w:pPr>
            <w:r>
              <w:rPr>
                <w:rFonts w:hint="eastAsia" w:ascii="宋体" w:hAnsi="宋体" w:cs="宋体"/>
                <w:color w:val="auto"/>
                <w:szCs w:val="21"/>
              </w:rPr>
              <w:t xml:space="preserve">账号：1279125468106012200010031 </w:t>
            </w:r>
          </w:p>
          <w:p>
            <w:pPr>
              <w:autoSpaceDE w:val="0"/>
              <w:autoSpaceDN w:val="0"/>
              <w:adjustRightInd w:val="0"/>
              <w:snapToGrid w:val="0"/>
              <w:spacing w:line="360" w:lineRule="auto"/>
              <w:rPr>
                <w:rFonts w:ascii="宋体" w:hAnsi="宋体" w:cs="宋体"/>
                <w:color w:val="auto"/>
              </w:rPr>
            </w:pPr>
            <w:r>
              <w:rPr>
                <w:rFonts w:hint="eastAsia" w:ascii="宋体" w:hAnsi="宋体" w:cs="宋体"/>
                <w:color w:val="auto"/>
              </w:rPr>
              <w:t>5.特别提示：为保证采购保证金及时到账，请各供</w:t>
            </w:r>
            <w:r>
              <w:rPr>
                <w:rFonts w:hint="eastAsia" w:ascii="宋体" w:hAnsi="宋体" w:cs="宋体"/>
                <w:color w:val="auto"/>
              </w:rPr>
              <w:t>应商在递交首次响应文件截止时间3日前，按竞争性磋商文件的要求向采购代理机构递交采购保证金，响应截止时间之后递交的采购保证金将被拒绝；</w:t>
            </w:r>
            <w:r>
              <w:rPr>
                <w:rFonts w:hint="eastAsia" w:ascii="宋体" w:hAnsi="宋体" w:cs="宋体"/>
                <w:b/>
                <w:bCs/>
                <w:color w:val="auto"/>
              </w:rPr>
              <w:t>供应商在汇款时务必注明项目名称、项目编号、用途。否则，因款项用途不明导致响应无效等后果由供应商自行承担。</w:t>
            </w:r>
          </w:p>
          <w:p>
            <w:pPr>
              <w:autoSpaceDE w:val="0"/>
              <w:autoSpaceDN w:val="0"/>
              <w:adjustRightInd w:val="0"/>
              <w:snapToGrid w:val="0"/>
              <w:spacing w:line="360" w:lineRule="auto"/>
              <w:rPr>
                <w:rFonts w:ascii="宋体" w:hAnsi="宋体" w:cs="宋体"/>
                <w:color w:val="auto"/>
              </w:rPr>
            </w:pPr>
            <w:r>
              <w:rPr>
                <w:rFonts w:hint="eastAsia" w:ascii="宋体" w:hAnsi="宋体" w:cs="宋体"/>
                <w:color w:val="auto"/>
              </w:rPr>
              <w:t>6.以本票、汇票、保函等形式提交磋商保证金的，应在响应截止时间前将本票、汇票、保函的原件密封递交至采购代理机构，且本票、汇票、保函的有效期不得少于响应文件有效期。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3.8.3</w:t>
            </w:r>
          </w:p>
        </w:tc>
        <w:tc>
          <w:tcPr>
            <w:tcW w:w="25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color w:val="auto"/>
                <w:kern w:val="0"/>
                <w:szCs w:val="21"/>
              </w:rPr>
            </w:pPr>
            <w:r>
              <w:rPr>
                <w:rFonts w:hint="eastAsia" w:ascii="宋体" w:hAnsi="宋体" w:cs="宋体"/>
                <w:color w:val="auto"/>
                <w:kern w:val="0"/>
                <w:szCs w:val="21"/>
              </w:rPr>
              <w:t>响应文件份数</w:t>
            </w:r>
          </w:p>
        </w:tc>
        <w:tc>
          <w:tcPr>
            <w:tcW w:w="5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color w:val="auto"/>
                <w:kern w:val="0"/>
                <w:szCs w:val="21"/>
              </w:rPr>
            </w:pPr>
            <w:r>
              <w:rPr>
                <w:rFonts w:hint="eastAsia" w:ascii="宋体" w:hAnsi="宋体" w:cs="宋体"/>
                <w:color w:val="auto"/>
                <w:kern w:val="0"/>
                <w:szCs w:val="21"/>
              </w:rPr>
              <w:t>正本一份，副本二份；电子文档u盘1份。（U盘提交，采用PDF格式，要求签署盖章的地方应有签署盖章，不得设置密码，并粘贴标签注明响应单位名称）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3.8.4</w:t>
            </w:r>
          </w:p>
        </w:tc>
        <w:tc>
          <w:tcPr>
            <w:tcW w:w="25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color w:val="auto"/>
                <w:kern w:val="0"/>
                <w:szCs w:val="21"/>
              </w:rPr>
            </w:pPr>
            <w:r>
              <w:rPr>
                <w:rFonts w:hint="eastAsia" w:ascii="宋体" w:hAnsi="宋体" w:cs="宋体"/>
                <w:color w:val="auto"/>
                <w:kern w:val="0"/>
                <w:szCs w:val="21"/>
              </w:rPr>
              <w:t>装订要求</w:t>
            </w:r>
          </w:p>
        </w:tc>
        <w:tc>
          <w:tcPr>
            <w:tcW w:w="5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i/>
                <w:color w:val="auto"/>
                <w:kern w:val="0"/>
                <w:szCs w:val="21"/>
              </w:rPr>
            </w:pPr>
            <w:r>
              <w:rPr>
                <w:rFonts w:hint="eastAsia" w:ascii="宋体" w:hAnsi="宋体" w:cs="宋体"/>
                <w:color w:val="auto"/>
                <w:kern w:val="0"/>
                <w:szCs w:val="21"/>
              </w:rPr>
              <w:t>应装订成册，不得采用活页方式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4.1.2</w:t>
            </w:r>
          </w:p>
        </w:tc>
        <w:tc>
          <w:tcPr>
            <w:tcW w:w="25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color w:val="auto"/>
                <w:kern w:val="0"/>
                <w:szCs w:val="21"/>
              </w:rPr>
            </w:pPr>
            <w:r>
              <w:rPr>
                <w:rFonts w:hint="eastAsia" w:ascii="宋体" w:hAnsi="宋体" w:cs="宋体"/>
                <w:color w:val="auto"/>
                <w:kern w:val="0"/>
                <w:szCs w:val="21"/>
              </w:rPr>
              <w:t>封套上写明</w:t>
            </w:r>
          </w:p>
        </w:tc>
        <w:tc>
          <w:tcPr>
            <w:tcW w:w="5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color w:val="auto"/>
                <w:kern w:val="0"/>
                <w:szCs w:val="21"/>
              </w:rPr>
            </w:pPr>
            <w:r>
              <w:rPr>
                <w:rFonts w:hint="eastAsia" w:ascii="宋体" w:hAnsi="宋体" w:cs="宋体"/>
                <w:color w:val="auto"/>
                <w:kern w:val="0"/>
                <w:szCs w:val="21"/>
              </w:rPr>
              <w:t>采购人名称：</w:t>
            </w:r>
          </w:p>
          <w:p>
            <w:pPr>
              <w:autoSpaceDE w:val="0"/>
              <w:autoSpaceDN w:val="0"/>
              <w:adjustRightInd w:val="0"/>
              <w:snapToGrid w:val="0"/>
              <w:spacing w:line="360" w:lineRule="auto"/>
              <w:rPr>
                <w:rFonts w:ascii="宋体" w:hAnsi="宋体" w:cs="宋体"/>
                <w:b/>
                <w:color w:val="auto"/>
                <w:kern w:val="0"/>
                <w:szCs w:val="21"/>
              </w:rPr>
            </w:pPr>
            <w:r>
              <w:rPr>
                <w:rFonts w:hint="eastAsia" w:ascii="宋体" w:hAnsi="宋体" w:cs="宋体"/>
                <w:color w:val="auto"/>
                <w:kern w:val="0"/>
                <w:szCs w:val="21"/>
              </w:rPr>
              <w:t>项目编号：</w:t>
            </w:r>
          </w:p>
          <w:p>
            <w:pPr>
              <w:autoSpaceDE w:val="0"/>
              <w:autoSpaceDN w:val="0"/>
              <w:adjustRightInd w:val="0"/>
              <w:snapToGrid w:val="0"/>
              <w:spacing w:line="360" w:lineRule="auto"/>
              <w:rPr>
                <w:rFonts w:ascii="宋体" w:hAnsi="宋体" w:cs="宋体"/>
                <w:b/>
                <w:color w:val="auto"/>
                <w:kern w:val="0"/>
                <w:szCs w:val="21"/>
              </w:rPr>
            </w:pPr>
            <w:r>
              <w:rPr>
                <w:rFonts w:hint="eastAsia" w:ascii="宋体" w:hAnsi="宋体" w:cs="宋体"/>
                <w:color w:val="auto"/>
                <w:kern w:val="0"/>
                <w:szCs w:val="21"/>
              </w:rPr>
              <w:t>（项目名称）包响应文件在    年 月 日 时 分前不得开启</w:t>
            </w:r>
          </w:p>
          <w:p>
            <w:pPr>
              <w:autoSpaceDE w:val="0"/>
              <w:autoSpaceDN w:val="0"/>
              <w:adjustRightInd w:val="0"/>
              <w:snapToGrid w:val="0"/>
              <w:spacing w:line="360" w:lineRule="auto"/>
              <w:rPr>
                <w:rFonts w:ascii="宋体" w:hAnsi="宋体" w:cs="宋体"/>
                <w:b/>
                <w:color w:val="auto"/>
                <w:kern w:val="0"/>
                <w:szCs w:val="21"/>
              </w:rPr>
            </w:pPr>
            <w:r>
              <w:rPr>
                <w:rFonts w:hint="eastAsia" w:ascii="宋体" w:hAnsi="宋体" w:cs="宋体"/>
                <w:color w:val="auto"/>
                <w:kern w:val="0"/>
                <w:szCs w:val="21"/>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rPr>
              <w:fldChar w:fldCharType="begin"/>
            </w:r>
            <w:r>
              <w:rPr>
                <w:rFonts w:hint="eastAsia" w:ascii="宋体" w:hAnsi="宋体" w:cs="宋体"/>
                <w:color w:val="auto"/>
              </w:rPr>
              <w:instrText xml:space="preserve"> REF _Ref527102573 \r \h  \* MERGEFORMAT </w:instrText>
            </w:r>
            <w:r>
              <w:rPr>
                <w:rFonts w:hint="eastAsia" w:ascii="宋体" w:hAnsi="宋体" w:cs="宋体"/>
                <w:color w:val="auto"/>
              </w:rPr>
              <w:fldChar w:fldCharType="separate"/>
            </w:r>
            <w:r>
              <w:rPr>
                <w:rFonts w:hint="eastAsia" w:ascii="宋体" w:hAnsi="宋体" w:cs="宋体"/>
                <w:color w:val="auto"/>
                <w:kern w:val="0"/>
                <w:szCs w:val="21"/>
              </w:rPr>
              <w:t>5.1.1</w:t>
            </w:r>
            <w:r>
              <w:rPr>
                <w:rFonts w:hint="eastAsia" w:ascii="宋体" w:hAnsi="宋体" w:cs="宋体"/>
                <w:color w:val="auto"/>
              </w:rPr>
              <w:fldChar w:fldCharType="end"/>
            </w:r>
          </w:p>
        </w:tc>
        <w:tc>
          <w:tcPr>
            <w:tcW w:w="25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color w:val="auto"/>
                <w:kern w:val="0"/>
                <w:szCs w:val="21"/>
              </w:rPr>
            </w:pPr>
            <w:r>
              <w:rPr>
                <w:rFonts w:hint="eastAsia" w:ascii="宋体" w:hAnsi="宋体" w:cs="宋体"/>
                <w:color w:val="auto"/>
                <w:kern w:val="0"/>
                <w:szCs w:val="21"/>
              </w:rPr>
              <w:t>磋商小组成员</w:t>
            </w:r>
          </w:p>
        </w:tc>
        <w:tc>
          <w:tcPr>
            <w:tcW w:w="5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color w:val="auto"/>
                <w:kern w:val="0"/>
                <w:szCs w:val="21"/>
              </w:rPr>
            </w:pPr>
            <w:r>
              <w:rPr>
                <w:rFonts w:hint="eastAsia" w:ascii="宋体" w:hAnsi="宋体" w:cs="宋体"/>
                <w:color w:val="auto"/>
                <w:kern w:val="0"/>
                <w:szCs w:val="21"/>
              </w:rPr>
              <w:t>磋商小组成员共3人，由采购人代表1人，外聘经济及技术专家2人从湖北省政府采购评审专家管理系统抽取。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rPr>
              <w:fldChar w:fldCharType="begin"/>
            </w:r>
            <w:r>
              <w:rPr>
                <w:rFonts w:hint="eastAsia" w:ascii="宋体" w:hAnsi="宋体" w:cs="宋体"/>
                <w:color w:val="auto"/>
              </w:rPr>
              <w:instrText xml:space="preserve"> REF _Ref527102841 \r \h  \* MERGEFORMAT </w:instrText>
            </w:r>
            <w:r>
              <w:rPr>
                <w:rFonts w:hint="eastAsia" w:ascii="宋体" w:hAnsi="宋体" w:cs="宋体"/>
                <w:color w:val="auto"/>
              </w:rPr>
              <w:fldChar w:fldCharType="separate"/>
            </w:r>
            <w:r>
              <w:rPr>
                <w:rFonts w:hint="eastAsia" w:ascii="宋体" w:hAnsi="宋体" w:cs="宋体"/>
                <w:color w:val="auto"/>
                <w:kern w:val="0"/>
                <w:szCs w:val="21"/>
              </w:rPr>
              <w:t>6.1</w:t>
            </w:r>
            <w:r>
              <w:rPr>
                <w:rFonts w:hint="eastAsia" w:ascii="宋体" w:hAnsi="宋体" w:cs="宋体"/>
                <w:color w:val="auto"/>
              </w:rPr>
              <w:fldChar w:fldCharType="end"/>
            </w:r>
          </w:p>
        </w:tc>
        <w:tc>
          <w:tcPr>
            <w:tcW w:w="25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color w:val="auto"/>
                <w:kern w:val="0"/>
                <w:szCs w:val="21"/>
              </w:rPr>
            </w:pPr>
            <w:r>
              <w:rPr>
                <w:rFonts w:hint="eastAsia" w:ascii="宋体" w:hAnsi="宋体" w:cs="宋体"/>
                <w:color w:val="auto"/>
                <w:kern w:val="0"/>
                <w:szCs w:val="21"/>
              </w:rPr>
              <w:t>确定成交供应商方式</w:t>
            </w:r>
          </w:p>
        </w:tc>
        <w:tc>
          <w:tcPr>
            <w:tcW w:w="5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color w:val="auto"/>
                <w:kern w:val="0"/>
                <w:szCs w:val="21"/>
              </w:rPr>
            </w:pPr>
            <w:r>
              <w:rPr>
                <w:rFonts w:hint="eastAsia" w:ascii="宋体" w:hAnsi="宋体" w:cs="宋体"/>
                <w:color w:val="auto"/>
                <w:kern w:val="0"/>
                <w:szCs w:val="21"/>
              </w:rPr>
              <w:t>☑采购人</w:t>
            </w:r>
          </w:p>
          <w:p>
            <w:pPr>
              <w:autoSpaceDE w:val="0"/>
              <w:autoSpaceDN w:val="0"/>
              <w:adjustRightInd w:val="0"/>
              <w:snapToGrid w:val="0"/>
              <w:spacing w:line="360" w:lineRule="auto"/>
              <w:rPr>
                <w:rFonts w:ascii="宋体" w:hAnsi="宋体" w:cs="宋体"/>
                <w:color w:val="auto"/>
                <w:kern w:val="0"/>
                <w:szCs w:val="21"/>
              </w:rPr>
            </w:pPr>
            <w:r>
              <w:rPr>
                <w:rFonts w:hint="eastAsia" w:ascii="宋体" w:hAnsi="宋体" w:cs="宋体"/>
                <w:color w:val="auto"/>
                <w:kern w:val="0"/>
                <w:szCs w:val="21"/>
              </w:rPr>
              <w:t>□采购人授权磋商小组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rPr>
              <w:fldChar w:fldCharType="begin"/>
            </w:r>
            <w:r>
              <w:rPr>
                <w:rFonts w:hint="eastAsia" w:ascii="宋体" w:hAnsi="宋体" w:cs="宋体"/>
                <w:color w:val="auto"/>
              </w:rPr>
              <w:instrText xml:space="preserve"> REF _Ref421009348 \r \h  \* MERGEFORMAT </w:instrText>
            </w:r>
            <w:r>
              <w:rPr>
                <w:rFonts w:hint="eastAsia" w:ascii="宋体" w:hAnsi="宋体" w:cs="宋体"/>
                <w:color w:val="auto"/>
              </w:rPr>
              <w:fldChar w:fldCharType="separate"/>
            </w:r>
            <w:r>
              <w:rPr>
                <w:rFonts w:hint="eastAsia" w:ascii="宋体" w:hAnsi="宋体" w:cs="宋体"/>
                <w:color w:val="auto"/>
                <w:kern w:val="0"/>
                <w:szCs w:val="21"/>
              </w:rPr>
              <w:t>6.4.1</w:t>
            </w:r>
            <w:r>
              <w:rPr>
                <w:rFonts w:hint="eastAsia" w:ascii="宋体" w:hAnsi="宋体" w:cs="宋体"/>
                <w:color w:val="auto"/>
              </w:rPr>
              <w:fldChar w:fldCharType="end"/>
            </w:r>
          </w:p>
        </w:tc>
        <w:tc>
          <w:tcPr>
            <w:tcW w:w="25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color w:val="auto"/>
                <w:kern w:val="0"/>
                <w:szCs w:val="21"/>
              </w:rPr>
            </w:pPr>
            <w:bookmarkStart w:id="70" w:name="_Toc31389"/>
            <w:r>
              <w:rPr>
                <w:rFonts w:hint="eastAsia" w:ascii="宋体" w:hAnsi="宋体" w:cs="宋体"/>
                <w:color w:val="auto"/>
                <w:kern w:val="0"/>
                <w:szCs w:val="21"/>
              </w:rPr>
              <w:t>履约保证金</w:t>
            </w:r>
            <w:bookmarkEnd w:id="70"/>
          </w:p>
        </w:tc>
        <w:tc>
          <w:tcPr>
            <w:tcW w:w="5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color w:val="auto"/>
                <w:kern w:val="0"/>
                <w:szCs w:val="21"/>
              </w:rPr>
            </w:pPr>
            <w:r>
              <w:rPr>
                <w:rFonts w:hint="eastAsia" w:ascii="宋体" w:hAnsi="宋体" w:cs="宋体"/>
                <w:color w:val="auto"/>
                <w:kern w:val="0"/>
                <w:szCs w:val="21"/>
              </w:rPr>
              <w:t>履约保证金的形式：包括电汇、银行转账（支票倒进账或网上银行转账）等非现金形式。</w:t>
            </w:r>
          </w:p>
          <w:p>
            <w:pPr>
              <w:autoSpaceDE w:val="0"/>
              <w:autoSpaceDN w:val="0"/>
              <w:adjustRightInd w:val="0"/>
              <w:snapToGrid w:val="0"/>
              <w:spacing w:line="360" w:lineRule="auto"/>
              <w:rPr>
                <w:rFonts w:ascii="宋体" w:hAnsi="宋体" w:cs="宋体"/>
                <w:color w:val="auto"/>
                <w:kern w:val="0"/>
                <w:szCs w:val="21"/>
              </w:rPr>
            </w:pPr>
            <w:r>
              <w:rPr>
                <w:rFonts w:hint="eastAsia" w:ascii="宋体" w:hAnsi="宋体" w:cs="宋体"/>
                <w:color w:val="auto"/>
                <w:kern w:val="0"/>
                <w:szCs w:val="21"/>
              </w:rPr>
              <w:t>履约保证金的金额：采购合同金额的5%，在签订合同前提交。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rPr>
              <w:fldChar w:fldCharType="begin"/>
            </w:r>
            <w:r>
              <w:rPr>
                <w:rFonts w:hint="eastAsia" w:ascii="宋体" w:hAnsi="宋体" w:cs="宋体"/>
                <w:color w:val="auto"/>
              </w:rPr>
              <w:instrText xml:space="preserve"> REF _Ref527103019 \r \h  \* MERGEFORMAT </w:instrText>
            </w:r>
            <w:r>
              <w:rPr>
                <w:rFonts w:hint="eastAsia" w:ascii="宋体" w:hAnsi="宋体" w:cs="宋体"/>
                <w:color w:val="auto"/>
              </w:rPr>
              <w:fldChar w:fldCharType="separate"/>
            </w:r>
            <w:r>
              <w:rPr>
                <w:rFonts w:hint="eastAsia" w:ascii="宋体" w:hAnsi="宋体" w:cs="宋体"/>
                <w:color w:val="auto"/>
                <w:kern w:val="0"/>
                <w:szCs w:val="21"/>
              </w:rPr>
              <w:t>9</w:t>
            </w:r>
            <w:r>
              <w:rPr>
                <w:rFonts w:hint="eastAsia" w:ascii="宋体" w:hAnsi="宋体" w:cs="宋体"/>
                <w:color w:val="auto"/>
              </w:rPr>
              <w:fldChar w:fldCharType="end"/>
            </w:r>
          </w:p>
        </w:tc>
        <w:tc>
          <w:tcPr>
            <w:tcW w:w="819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color w:val="auto"/>
                <w:kern w:val="0"/>
                <w:szCs w:val="21"/>
              </w:rPr>
            </w:pPr>
            <w:r>
              <w:rPr>
                <w:rFonts w:hint="eastAsia" w:ascii="宋体" w:hAnsi="宋体" w:cs="宋体"/>
                <w:color w:val="auto"/>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819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color w:val="auto"/>
                <w:kern w:val="0"/>
                <w:szCs w:val="21"/>
              </w:rPr>
            </w:pPr>
            <w:r>
              <w:rPr>
                <w:rFonts w:hint="eastAsia" w:ascii="宋体" w:hAnsi="宋体" w:cs="宋体"/>
                <w:color w:val="auto"/>
                <w:kern w:val="0"/>
                <w:szCs w:val="21"/>
              </w:rPr>
              <w:t>成交供应商应在</w:t>
            </w:r>
            <w:r>
              <w:rPr>
                <w:rFonts w:hint="eastAsia" w:ascii="宋体" w:hAnsi="宋体" w:cs="宋体"/>
                <w:color w:val="auto"/>
              </w:rPr>
              <w:t>收到缴费通知书时及时</w:t>
            </w:r>
            <w:r>
              <w:rPr>
                <w:rFonts w:hint="eastAsia" w:ascii="宋体" w:hAnsi="宋体" w:cs="宋体"/>
                <w:color w:val="auto"/>
                <w:kern w:val="0"/>
                <w:szCs w:val="21"/>
              </w:rPr>
              <w:t>向采购代理机构交纳代理服务费。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（2）</w:t>
            </w:r>
          </w:p>
        </w:tc>
        <w:tc>
          <w:tcPr>
            <w:tcW w:w="25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color w:val="auto"/>
                <w:kern w:val="0"/>
                <w:szCs w:val="21"/>
              </w:rPr>
            </w:pPr>
            <w:r>
              <w:rPr>
                <w:rFonts w:hint="eastAsia" w:ascii="宋体" w:hAnsi="宋体" w:cs="宋体"/>
                <w:color w:val="auto"/>
                <w:kern w:val="0"/>
                <w:szCs w:val="21"/>
              </w:rPr>
              <w:t>代理服务费计算</w:t>
            </w:r>
          </w:p>
        </w:tc>
        <w:tc>
          <w:tcPr>
            <w:tcW w:w="5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color w:val="auto"/>
                <w:kern w:val="0"/>
                <w:szCs w:val="21"/>
              </w:rPr>
            </w:pPr>
            <w:r>
              <w:rPr>
                <w:rFonts w:hint="eastAsia" w:ascii="宋体" w:hAnsi="宋体" w:cs="宋体"/>
                <w:color w:val="auto"/>
                <w:kern w:val="0"/>
                <w:szCs w:val="21"/>
              </w:rPr>
              <w:t>按国家发展计划委员会计价格[2002]1980号文”及“发改价格[2011]534号文”确定的货物类收费标准的60%计取。代理服务费不足4000元的，按4000元计取。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（3）</w:t>
            </w:r>
          </w:p>
        </w:tc>
        <w:tc>
          <w:tcPr>
            <w:tcW w:w="251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磋商</w:t>
            </w:r>
          </w:p>
        </w:tc>
        <w:tc>
          <w:tcPr>
            <w:tcW w:w="56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color w:val="auto"/>
                <w:kern w:val="0"/>
                <w:szCs w:val="21"/>
              </w:rPr>
            </w:pPr>
            <w:r>
              <w:rPr>
                <w:rFonts w:hint="eastAsia" w:ascii="宋体" w:hAnsi="宋体" w:cs="宋体"/>
                <w:color w:val="auto"/>
                <w:kern w:val="0"/>
                <w:szCs w:val="21"/>
              </w:rPr>
              <w:t>供应商法定代表人或授权代表携带本人身份证及法定代表人证明或法定代表人授权委托书原件参加磋商谈判。</w:t>
            </w:r>
            <w:r>
              <w:rPr>
                <w:rFonts w:hint="eastAsia"/>
                <w:color w:val="auto"/>
              </w:rPr>
              <w:t>被授权人需提供近6个月内任一个月的社保证明。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（4）</w:t>
            </w:r>
          </w:p>
        </w:tc>
        <w:tc>
          <w:tcPr>
            <w:tcW w:w="251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行业划型</w:t>
            </w:r>
          </w:p>
        </w:tc>
        <w:tc>
          <w:tcPr>
            <w:tcW w:w="56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kern w:val="0"/>
                <w:szCs w:val="21"/>
              </w:rPr>
            </w:pPr>
            <w:r>
              <w:rPr>
                <w:rFonts w:hint="eastAsia" w:ascii="宋体" w:hAnsi="宋体" w:cs="宋体"/>
                <w:color w:val="auto"/>
                <w:kern w:val="0"/>
                <w:szCs w:val="21"/>
              </w:rPr>
              <w:t>依据《关于印发中小企业划型标准规定的通知》工信部联企业[2011]300号文，本项目为</w:t>
            </w:r>
            <w:r>
              <w:rPr>
                <w:rFonts w:hint="eastAsia" w:ascii="宋体" w:hAnsi="宋体" w:cs="宋体"/>
                <w:color w:val="auto"/>
                <w:kern w:val="0"/>
                <w:szCs w:val="21"/>
                <w:u w:val="single"/>
              </w:rPr>
              <w:t xml:space="preserve"> 工业 </w:t>
            </w:r>
            <w:r>
              <w:rPr>
                <w:rFonts w:hint="eastAsia" w:ascii="宋体" w:hAnsi="宋体" w:cs="宋体"/>
                <w:color w:val="auto"/>
                <w:szCs w:val="21"/>
                <w:shd w:val="clear" w:color="auto" w:fill="FFFFFF"/>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（5）</w:t>
            </w:r>
          </w:p>
        </w:tc>
        <w:tc>
          <w:tcPr>
            <w:tcW w:w="251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rPr>
            </w:pPr>
            <w:r>
              <w:rPr>
                <w:rFonts w:hint="eastAsia" w:ascii="宋体" w:hAnsi="宋体" w:cs="宋体"/>
                <w:color w:val="auto"/>
                <w:szCs w:val="21"/>
              </w:rPr>
              <w:t>政府采购政策</w:t>
            </w:r>
          </w:p>
        </w:tc>
        <w:tc>
          <w:tcPr>
            <w:tcW w:w="567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ind w:firstLine="0"/>
              <w:rPr>
                <w:rFonts w:hAnsi="宋体" w:cs="宋体"/>
                <w:b/>
                <w:color w:val="auto"/>
                <w:sz w:val="21"/>
                <w:szCs w:val="21"/>
              </w:rPr>
            </w:pPr>
            <w:r>
              <w:rPr>
                <w:rFonts w:hint="eastAsia" w:hAnsi="宋体" w:cs="宋体"/>
                <w:b/>
                <w:color w:val="auto"/>
                <w:sz w:val="21"/>
                <w:szCs w:val="21"/>
              </w:rPr>
              <w:t>1.本次采购非专门面向中小企业，执行如下政府采购政策：</w:t>
            </w:r>
          </w:p>
          <w:p>
            <w:pPr>
              <w:pStyle w:val="18"/>
              <w:spacing w:line="360" w:lineRule="auto"/>
              <w:ind w:firstLine="0"/>
              <w:rPr>
                <w:rFonts w:hAnsi="宋体" w:cs="宋体"/>
                <w:color w:val="auto"/>
                <w:sz w:val="21"/>
                <w:szCs w:val="21"/>
              </w:rPr>
            </w:pPr>
            <w:r>
              <w:rPr>
                <w:rFonts w:hint="eastAsia" w:hAnsi="宋体" w:cs="宋体"/>
                <w:color w:val="auto"/>
                <w:sz w:val="21"/>
                <w:szCs w:val="21"/>
              </w:rPr>
              <w:t>1）小微企业产品价格扣除比例：</w:t>
            </w:r>
            <w:r>
              <w:rPr>
                <w:rFonts w:hint="eastAsia" w:hAnsi="宋体" w:cs="宋体"/>
                <w:color w:val="auto"/>
                <w:sz w:val="21"/>
                <w:szCs w:val="21"/>
                <w:u w:val="single"/>
              </w:rPr>
              <w:t xml:space="preserve"> 6% </w:t>
            </w:r>
            <w:r>
              <w:rPr>
                <w:rFonts w:hint="eastAsia" w:hAnsi="宋体" w:cs="宋体"/>
                <w:color w:val="auto"/>
                <w:sz w:val="21"/>
                <w:szCs w:val="21"/>
              </w:rPr>
              <w:t xml:space="preserve"> ，监狱企业、残疾人福利性单位视同小微企业</w:t>
            </w:r>
          </w:p>
          <w:p>
            <w:pPr>
              <w:pStyle w:val="18"/>
              <w:spacing w:line="360" w:lineRule="auto"/>
              <w:ind w:firstLine="0"/>
              <w:rPr>
                <w:rFonts w:hAnsi="宋体" w:cs="宋体"/>
                <w:color w:val="auto"/>
                <w:sz w:val="21"/>
                <w:szCs w:val="21"/>
                <w:u w:val="single"/>
              </w:rPr>
            </w:pPr>
            <w:r>
              <w:rPr>
                <w:rFonts w:hint="eastAsia" w:hAnsi="宋体" w:cs="宋体"/>
                <w:color w:val="auto"/>
                <w:sz w:val="21"/>
                <w:szCs w:val="21"/>
              </w:rPr>
              <w:t>2）符合要求的联合体价格扣除比例：</w:t>
            </w:r>
            <w:r>
              <w:rPr>
                <w:rFonts w:hint="eastAsia" w:hAnsi="宋体" w:cs="宋体"/>
                <w:color w:val="auto"/>
                <w:sz w:val="21"/>
                <w:szCs w:val="21"/>
                <w:u w:val="single"/>
              </w:rPr>
              <w:t xml:space="preserve"> 不适用 </w:t>
            </w:r>
          </w:p>
          <w:p>
            <w:pPr>
              <w:pStyle w:val="18"/>
              <w:spacing w:line="360" w:lineRule="auto"/>
              <w:ind w:firstLine="0"/>
              <w:rPr>
                <w:rFonts w:hAnsi="宋体" w:cs="宋体"/>
                <w:color w:val="auto"/>
                <w:sz w:val="21"/>
                <w:szCs w:val="21"/>
              </w:rPr>
            </w:pPr>
            <w:r>
              <w:rPr>
                <w:rFonts w:hint="eastAsia" w:hAnsi="宋体" w:cs="宋体"/>
                <w:color w:val="auto"/>
                <w:sz w:val="21"/>
                <w:szCs w:val="21"/>
              </w:rPr>
              <w:t>3）符合政府采购优先采购节能产品政策的价格优惠：</w:t>
            </w:r>
            <w:r>
              <w:rPr>
                <w:rFonts w:hint="eastAsia" w:hAnsi="宋体" w:cs="宋体"/>
                <w:color w:val="auto"/>
                <w:sz w:val="21"/>
                <w:szCs w:val="21"/>
                <w:u w:val="single"/>
              </w:rPr>
              <w:t xml:space="preserve"> 评审时给予该部分产品1%的价格扣除</w:t>
            </w:r>
          </w:p>
          <w:p>
            <w:pPr>
              <w:pStyle w:val="18"/>
              <w:spacing w:line="360" w:lineRule="auto"/>
              <w:ind w:firstLine="0"/>
              <w:rPr>
                <w:rFonts w:hAnsi="宋体" w:cs="宋体"/>
                <w:color w:val="auto"/>
                <w:sz w:val="21"/>
                <w:szCs w:val="21"/>
                <w:u w:val="single"/>
              </w:rPr>
            </w:pPr>
            <w:r>
              <w:rPr>
                <w:rFonts w:hint="eastAsia" w:hAnsi="宋体" w:cs="宋体"/>
                <w:color w:val="auto"/>
                <w:sz w:val="21"/>
                <w:szCs w:val="21"/>
              </w:rPr>
              <w:t>4）符合政府采购优先采购环境标志产品的优惠：</w:t>
            </w:r>
            <w:r>
              <w:rPr>
                <w:rFonts w:hint="eastAsia" w:hAnsi="宋体" w:cs="宋体"/>
                <w:color w:val="auto"/>
                <w:sz w:val="21"/>
                <w:szCs w:val="21"/>
                <w:u w:val="single"/>
              </w:rPr>
              <w:t>评审时给予该部分产品1%的价格扣除</w:t>
            </w:r>
          </w:p>
          <w:p>
            <w:pPr>
              <w:pStyle w:val="18"/>
              <w:spacing w:line="360" w:lineRule="auto"/>
              <w:ind w:firstLine="0"/>
              <w:rPr>
                <w:rFonts w:hAnsi="宋体" w:cs="宋体"/>
                <w:b/>
                <w:color w:val="auto"/>
                <w:sz w:val="21"/>
                <w:szCs w:val="21"/>
              </w:rPr>
            </w:pPr>
            <w:r>
              <w:rPr>
                <w:rFonts w:hint="eastAsia" w:hAnsi="宋体" w:cs="宋体"/>
                <w:b/>
                <w:color w:val="auto"/>
                <w:sz w:val="21"/>
                <w:szCs w:val="21"/>
              </w:rPr>
              <w:t>2.供应商应当对提供的《中小企业声明函》、监狱企业证明文件、《残疾人福利性单位声明函》及享受政府采购优惠政策的其他材料的真实性负责，上述材料与事实不符，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8"/>
              <w:ind w:firstLine="0"/>
              <w:rPr>
                <w:rFonts w:hAnsi="宋体" w:cs="宋体"/>
                <w:b/>
                <w:color w:val="auto"/>
                <w:sz w:val="21"/>
                <w:szCs w:val="21"/>
              </w:rPr>
            </w:pPr>
            <w:r>
              <w:rPr>
                <w:rFonts w:hint="eastAsia" w:hAnsi="宋体" w:cs="宋体"/>
                <w:b/>
                <w:color w:val="auto"/>
                <w:sz w:val="21"/>
                <w:szCs w:val="21"/>
              </w:rPr>
              <w:t>3.中小企业声明</w:t>
            </w:r>
          </w:p>
          <w:p>
            <w:pPr>
              <w:pStyle w:val="18"/>
              <w:spacing w:line="360" w:lineRule="auto"/>
              <w:ind w:firstLine="0"/>
              <w:rPr>
                <w:rFonts w:hAnsi="宋体" w:cs="宋体"/>
                <w:color w:val="auto"/>
                <w:sz w:val="21"/>
                <w:szCs w:val="21"/>
              </w:rPr>
            </w:pPr>
            <w:r>
              <w:rPr>
                <w:rFonts w:hint="eastAsia" w:hAnsi="宋体" w:cs="宋体"/>
                <w:color w:val="auto"/>
                <w:sz w:val="21"/>
                <w:szCs w:val="21"/>
              </w:rPr>
              <w:t>如符合工信部联企业【2011】300号文中对中小企业划型标准，需提供本单位的《中小企业声明函》资料。</w:t>
            </w:r>
          </w:p>
        </w:tc>
      </w:tr>
    </w:tbl>
    <w:p>
      <w:pPr>
        <w:rPr>
          <w:rFonts w:ascii="宋体" w:hAnsi="宋体" w:cs="宋体"/>
          <w:color w:val="auto"/>
        </w:rPr>
      </w:pPr>
    </w:p>
    <w:p>
      <w:pPr>
        <w:rPr>
          <w:rFonts w:ascii="宋体" w:hAnsi="宋体" w:cs="宋体"/>
          <w:color w:val="auto"/>
        </w:rPr>
      </w:pPr>
      <w:r>
        <w:rPr>
          <w:rFonts w:hint="eastAsia" w:ascii="宋体" w:hAnsi="宋体" w:cs="宋体"/>
          <w:color w:val="auto"/>
        </w:rPr>
        <w:br w:type="page"/>
      </w:r>
    </w:p>
    <w:p>
      <w:pPr>
        <w:autoSpaceDE w:val="0"/>
        <w:autoSpaceDN w:val="0"/>
        <w:adjustRightInd w:val="0"/>
        <w:snapToGrid w:val="0"/>
        <w:spacing w:after="156" w:afterLines="50"/>
        <w:jc w:val="center"/>
        <w:outlineLvl w:val="1"/>
        <w:rPr>
          <w:rFonts w:ascii="宋体" w:hAnsi="宋体" w:cs="宋体"/>
          <w:color w:val="auto"/>
          <w:kern w:val="0"/>
          <w:sz w:val="28"/>
          <w:szCs w:val="28"/>
        </w:rPr>
      </w:pPr>
      <w:bookmarkStart w:id="71" w:name="_Toc7588"/>
      <w:r>
        <w:rPr>
          <w:rFonts w:hint="eastAsia" w:ascii="宋体" w:hAnsi="宋体" w:cs="宋体"/>
          <w:color w:val="auto"/>
          <w:kern w:val="0"/>
          <w:sz w:val="28"/>
          <w:szCs w:val="28"/>
        </w:rPr>
        <w:t>（二）供应商须知</w:t>
      </w:r>
      <w:bookmarkEnd w:id="71"/>
    </w:p>
    <w:p>
      <w:pPr>
        <w:numPr>
          <w:ilvl w:val="0"/>
          <w:numId w:val="2"/>
        </w:numPr>
        <w:tabs>
          <w:tab w:val="left" w:pos="1134"/>
        </w:tabs>
        <w:autoSpaceDE w:val="0"/>
        <w:autoSpaceDN w:val="0"/>
        <w:adjustRightInd w:val="0"/>
        <w:spacing w:after="156" w:afterLines="50" w:line="400" w:lineRule="exact"/>
        <w:outlineLvl w:val="2"/>
        <w:rPr>
          <w:rFonts w:ascii="宋体" w:hAnsi="宋体" w:cs="宋体"/>
          <w:color w:val="auto"/>
          <w:kern w:val="0"/>
          <w:szCs w:val="21"/>
        </w:rPr>
      </w:pPr>
      <w:bookmarkStart w:id="72" w:name="_Toc4433559"/>
      <w:bookmarkStart w:id="73" w:name="_Toc195921793"/>
      <w:bookmarkStart w:id="74" w:name="_Toc3220168"/>
      <w:r>
        <w:rPr>
          <w:rFonts w:hint="eastAsia" w:ascii="宋体" w:hAnsi="宋体" w:cs="宋体"/>
          <w:color w:val="auto"/>
          <w:kern w:val="0"/>
          <w:szCs w:val="21"/>
        </w:rPr>
        <w:t>总则</w:t>
      </w:r>
      <w:bookmarkEnd w:id="72"/>
      <w:bookmarkEnd w:id="73"/>
      <w:bookmarkEnd w:id="74"/>
    </w:p>
    <w:p>
      <w:pPr>
        <w:numPr>
          <w:ilvl w:val="1"/>
          <w:numId w:val="2"/>
        </w:numPr>
        <w:tabs>
          <w:tab w:val="left" w:pos="1134"/>
        </w:tabs>
        <w:autoSpaceDE w:val="0"/>
        <w:autoSpaceDN w:val="0"/>
        <w:adjustRightInd w:val="0"/>
        <w:snapToGrid w:val="0"/>
        <w:spacing w:after="156" w:afterLines="50" w:line="400" w:lineRule="exact"/>
        <w:rPr>
          <w:rFonts w:ascii="宋体" w:hAnsi="宋体" w:cs="宋体"/>
          <w:color w:val="auto"/>
          <w:kern w:val="0"/>
          <w:szCs w:val="21"/>
        </w:rPr>
      </w:pPr>
      <w:bookmarkStart w:id="75" w:name="_Toc195921794"/>
      <w:r>
        <w:rPr>
          <w:rFonts w:hint="eastAsia" w:ascii="宋体" w:hAnsi="宋体" w:cs="宋体"/>
          <w:color w:val="auto"/>
          <w:kern w:val="0"/>
          <w:szCs w:val="21"/>
        </w:rPr>
        <w:t>项目概况</w:t>
      </w:r>
      <w:bookmarkEnd w:id="75"/>
    </w:p>
    <w:p>
      <w:pPr>
        <w:numPr>
          <w:ilvl w:val="2"/>
          <w:numId w:val="2"/>
        </w:numPr>
        <w:tabs>
          <w:tab w:val="left" w:pos="1260"/>
        </w:tabs>
        <w:autoSpaceDE w:val="0"/>
        <w:autoSpaceDN w:val="0"/>
        <w:adjustRightInd w:val="0"/>
        <w:snapToGrid w:val="0"/>
        <w:spacing w:after="156" w:afterLines="50" w:line="400" w:lineRule="exact"/>
        <w:ind w:left="14" w:hanging="14"/>
        <w:rPr>
          <w:rFonts w:ascii="宋体" w:hAnsi="宋体" w:cs="宋体"/>
          <w:color w:val="auto"/>
          <w:kern w:val="0"/>
          <w:szCs w:val="21"/>
        </w:rPr>
      </w:pPr>
      <w:r>
        <w:rPr>
          <w:rFonts w:hint="eastAsia" w:ascii="宋体" w:hAnsi="宋体" w:cs="宋体"/>
          <w:color w:val="auto"/>
          <w:kern w:val="0"/>
          <w:szCs w:val="21"/>
        </w:rPr>
        <w:t>根据《中华人民共和国政府采购法》和《中华人民共和国政府采购法实施条例》等有关法律、法规、规章和规范性文件的规定，对本项目通过竞争性磋商进行采购。</w:t>
      </w:r>
    </w:p>
    <w:p>
      <w:pPr>
        <w:numPr>
          <w:ilvl w:val="2"/>
          <w:numId w:val="2"/>
        </w:numPr>
        <w:tabs>
          <w:tab w:val="left" w:pos="1260"/>
          <w:tab w:val="left" w:pos="1480"/>
        </w:tabs>
        <w:autoSpaceDE w:val="0"/>
        <w:autoSpaceDN w:val="0"/>
        <w:adjustRightInd w:val="0"/>
        <w:snapToGrid w:val="0"/>
        <w:spacing w:after="156" w:afterLines="50" w:line="400" w:lineRule="exact"/>
        <w:ind w:left="14" w:hanging="14"/>
        <w:rPr>
          <w:rFonts w:ascii="宋体" w:hAnsi="宋体" w:cs="宋体"/>
          <w:color w:val="auto"/>
          <w:kern w:val="0"/>
          <w:szCs w:val="21"/>
        </w:rPr>
      </w:pPr>
      <w:r>
        <w:rPr>
          <w:rFonts w:hint="eastAsia" w:ascii="宋体" w:hAnsi="宋体" w:cs="宋体"/>
          <w:color w:val="auto"/>
          <w:kern w:val="0"/>
          <w:szCs w:val="21"/>
        </w:rPr>
        <w:t>采购人：</w:t>
      </w:r>
      <w:r>
        <w:rPr>
          <w:rFonts w:hint="eastAsia" w:ascii="宋体" w:hAnsi="宋体" w:cs="宋体"/>
          <w:color w:val="auto"/>
          <w:szCs w:val="21"/>
        </w:rPr>
        <w:t>指依法进行政府采购的国家机关、事业单位、团体组织。本项目采购人见竞争性磋商公告</w:t>
      </w:r>
      <w:r>
        <w:rPr>
          <w:rFonts w:hint="eastAsia" w:ascii="宋体" w:hAnsi="宋体" w:cs="宋体"/>
          <w:color w:val="auto"/>
          <w:kern w:val="0"/>
          <w:szCs w:val="21"/>
        </w:rPr>
        <w:t>。</w:t>
      </w:r>
    </w:p>
    <w:p>
      <w:pPr>
        <w:numPr>
          <w:ilvl w:val="2"/>
          <w:numId w:val="2"/>
        </w:numPr>
        <w:tabs>
          <w:tab w:val="left" w:pos="1134"/>
          <w:tab w:val="left" w:pos="1260"/>
        </w:tabs>
        <w:autoSpaceDE w:val="0"/>
        <w:autoSpaceDN w:val="0"/>
        <w:adjustRightInd w:val="0"/>
        <w:snapToGrid w:val="0"/>
        <w:spacing w:after="156" w:afterLines="50" w:line="400" w:lineRule="exact"/>
        <w:rPr>
          <w:rFonts w:ascii="宋体" w:hAnsi="宋体" w:cs="宋体"/>
          <w:color w:val="auto"/>
          <w:kern w:val="0"/>
          <w:szCs w:val="21"/>
        </w:rPr>
      </w:pPr>
      <w:r>
        <w:rPr>
          <w:rFonts w:hint="eastAsia" w:ascii="宋体" w:hAnsi="宋体" w:cs="宋体"/>
          <w:color w:val="auto"/>
          <w:kern w:val="0"/>
          <w:szCs w:val="21"/>
        </w:rPr>
        <w:t>采购代理机构：</w:t>
      </w:r>
      <w:r>
        <w:rPr>
          <w:rFonts w:hint="eastAsia" w:ascii="宋体" w:hAnsi="宋体" w:cs="宋体"/>
          <w:color w:val="auto"/>
          <w:szCs w:val="21"/>
        </w:rPr>
        <w:t>指采购人委托的采购代理机构。本项目采购代理机构见竞争性磋商公告</w:t>
      </w:r>
      <w:r>
        <w:rPr>
          <w:rFonts w:hint="eastAsia" w:ascii="宋体" w:hAnsi="宋体" w:cs="宋体"/>
          <w:color w:val="auto"/>
          <w:kern w:val="0"/>
          <w:szCs w:val="21"/>
        </w:rPr>
        <w:t>。</w:t>
      </w:r>
    </w:p>
    <w:p>
      <w:pPr>
        <w:numPr>
          <w:ilvl w:val="2"/>
          <w:numId w:val="2"/>
        </w:numPr>
        <w:tabs>
          <w:tab w:val="left" w:pos="1134"/>
          <w:tab w:val="left" w:pos="1260"/>
        </w:tabs>
        <w:autoSpaceDE w:val="0"/>
        <w:autoSpaceDN w:val="0"/>
        <w:adjustRightInd w:val="0"/>
        <w:snapToGrid w:val="0"/>
        <w:spacing w:after="156" w:afterLines="50" w:line="400" w:lineRule="exact"/>
        <w:rPr>
          <w:rFonts w:ascii="宋体" w:hAnsi="宋体" w:cs="宋体"/>
          <w:color w:val="auto"/>
          <w:kern w:val="0"/>
          <w:szCs w:val="21"/>
        </w:rPr>
      </w:pPr>
      <w:r>
        <w:rPr>
          <w:rFonts w:hint="eastAsia" w:ascii="宋体" w:hAnsi="宋体" w:cs="宋体"/>
          <w:color w:val="auto"/>
          <w:kern w:val="0"/>
          <w:szCs w:val="21"/>
        </w:rPr>
        <w:t>采购项目名称：</w:t>
      </w:r>
    </w:p>
    <w:p>
      <w:pPr>
        <w:autoSpaceDE w:val="0"/>
        <w:autoSpaceDN w:val="0"/>
        <w:adjustRightInd w:val="0"/>
        <w:snapToGrid w:val="0"/>
        <w:spacing w:after="156" w:afterLines="50" w:line="400" w:lineRule="exact"/>
        <w:ind w:firstLine="420" w:firstLineChars="200"/>
        <w:rPr>
          <w:rFonts w:ascii="宋体" w:hAnsi="宋体" w:cs="宋体"/>
          <w:color w:val="auto"/>
          <w:szCs w:val="21"/>
        </w:rPr>
      </w:pPr>
      <w:r>
        <w:rPr>
          <w:rFonts w:hint="eastAsia" w:ascii="宋体" w:hAnsi="宋体" w:cs="宋体"/>
          <w:color w:val="auto"/>
          <w:szCs w:val="21"/>
        </w:rPr>
        <w:t>见竞争性磋商公告。</w:t>
      </w:r>
    </w:p>
    <w:p>
      <w:pPr>
        <w:numPr>
          <w:ilvl w:val="1"/>
          <w:numId w:val="2"/>
        </w:numPr>
        <w:tabs>
          <w:tab w:val="left" w:pos="1134"/>
        </w:tabs>
        <w:autoSpaceDE w:val="0"/>
        <w:autoSpaceDN w:val="0"/>
        <w:adjustRightInd w:val="0"/>
        <w:snapToGrid w:val="0"/>
        <w:spacing w:after="156" w:afterLines="50" w:line="400" w:lineRule="exact"/>
        <w:rPr>
          <w:rFonts w:ascii="宋体" w:hAnsi="宋体" w:cs="宋体"/>
          <w:color w:val="auto"/>
          <w:kern w:val="0"/>
          <w:szCs w:val="21"/>
        </w:rPr>
      </w:pPr>
      <w:bookmarkStart w:id="76" w:name="_Toc195921795"/>
      <w:r>
        <w:rPr>
          <w:rFonts w:hint="eastAsia" w:ascii="宋体" w:hAnsi="宋体" w:cs="宋体"/>
          <w:color w:val="auto"/>
          <w:kern w:val="0"/>
          <w:szCs w:val="21"/>
        </w:rPr>
        <w:t>采购预算</w:t>
      </w:r>
      <w:bookmarkEnd w:id="76"/>
      <w:r>
        <w:rPr>
          <w:rFonts w:hint="eastAsia" w:ascii="宋体" w:hAnsi="宋体" w:cs="宋体"/>
          <w:color w:val="auto"/>
          <w:kern w:val="0"/>
          <w:szCs w:val="21"/>
        </w:rPr>
        <w:t>及最高限价</w:t>
      </w:r>
    </w:p>
    <w:p>
      <w:pPr>
        <w:autoSpaceDE w:val="0"/>
        <w:autoSpaceDN w:val="0"/>
        <w:adjustRightInd w:val="0"/>
        <w:snapToGrid w:val="0"/>
        <w:spacing w:after="156" w:afterLines="50" w:line="400" w:lineRule="exact"/>
        <w:ind w:firstLine="420" w:firstLineChars="200"/>
        <w:rPr>
          <w:rFonts w:ascii="宋体" w:hAnsi="宋体" w:cs="宋体"/>
          <w:color w:val="auto"/>
          <w:szCs w:val="21"/>
        </w:rPr>
      </w:pPr>
      <w:r>
        <w:rPr>
          <w:rFonts w:hint="eastAsia" w:ascii="宋体" w:hAnsi="宋体" w:cs="宋体"/>
          <w:color w:val="auto"/>
          <w:szCs w:val="21"/>
        </w:rPr>
        <w:t>见竞争性磋商公告。</w:t>
      </w:r>
    </w:p>
    <w:p>
      <w:pPr>
        <w:numPr>
          <w:ilvl w:val="1"/>
          <w:numId w:val="2"/>
        </w:numPr>
        <w:tabs>
          <w:tab w:val="left" w:pos="1134"/>
        </w:tabs>
        <w:autoSpaceDE w:val="0"/>
        <w:autoSpaceDN w:val="0"/>
        <w:adjustRightInd w:val="0"/>
        <w:snapToGrid w:val="0"/>
        <w:spacing w:after="156" w:afterLines="50" w:line="400" w:lineRule="exact"/>
        <w:rPr>
          <w:rFonts w:ascii="宋体" w:hAnsi="宋体" w:cs="宋体"/>
          <w:color w:val="auto"/>
          <w:kern w:val="0"/>
          <w:szCs w:val="21"/>
        </w:rPr>
      </w:pPr>
      <w:bookmarkStart w:id="77" w:name="_Toc195921796"/>
      <w:r>
        <w:rPr>
          <w:rFonts w:hint="eastAsia" w:ascii="宋体" w:hAnsi="宋体" w:cs="宋体"/>
          <w:color w:val="auto"/>
          <w:kern w:val="0"/>
          <w:szCs w:val="21"/>
        </w:rPr>
        <w:t>采购范围、服务期和质量要求</w:t>
      </w:r>
      <w:bookmarkEnd w:id="77"/>
    </w:p>
    <w:p>
      <w:pPr>
        <w:autoSpaceDE w:val="0"/>
        <w:autoSpaceDN w:val="0"/>
        <w:adjustRightInd w:val="0"/>
        <w:snapToGrid w:val="0"/>
        <w:spacing w:after="156" w:afterLines="50" w:line="400" w:lineRule="exact"/>
        <w:ind w:firstLine="420" w:firstLineChars="200"/>
        <w:rPr>
          <w:rFonts w:ascii="宋体" w:hAnsi="宋体" w:cs="宋体"/>
          <w:color w:val="auto"/>
          <w:szCs w:val="21"/>
        </w:rPr>
      </w:pPr>
      <w:r>
        <w:rPr>
          <w:rFonts w:hint="eastAsia" w:ascii="宋体" w:hAnsi="宋体" w:cs="宋体"/>
          <w:color w:val="auto"/>
          <w:szCs w:val="21"/>
        </w:rPr>
        <w:t>见采购需求。</w:t>
      </w:r>
    </w:p>
    <w:p>
      <w:pPr>
        <w:numPr>
          <w:ilvl w:val="1"/>
          <w:numId w:val="2"/>
        </w:numPr>
        <w:tabs>
          <w:tab w:val="left" w:pos="1134"/>
        </w:tabs>
        <w:autoSpaceDE w:val="0"/>
        <w:autoSpaceDN w:val="0"/>
        <w:adjustRightInd w:val="0"/>
        <w:snapToGrid w:val="0"/>
        <w:spacing w:after="156" w:afterLines="50" w:line="400" w:lineRule="exact"/>
        <w:rPr>
          <w:rFonts w:ascii="宋体" w:hAnsi="宋体" w:cs="宋体"/>
          <w:color w:val="auto"/>
          <w:kern w:val="0"/>
          <w:szCs w:val="21"/>
        </w:rPr>
      </w:pPr>
      <w:r>
        <w:rPr>
          <w:rFonts w:hint="eastAsia" w:ascii="宋体" w:hAnsi="宋体" w:cs="宋体"/>
          <w:color w:val="auto"/>
          <w:kern w:val="0"/>
          <w:szCs w:val="21"/>
        </w:rPr>
        <w:t>供应商：</w:t>
      </w:r>
      <w:r>
        <w:rPr>
          <w:rFonts w:hint="eastAsia" w:ascii="宋体" w:hAnsi="宋体" w:cs="宋体"/>
          <w:color w:val="auto"/>
          <w:szCs w:val="21"/>
        </w:rPr>
        <w:t>指递交响应文件的法人、其他组织或者自然人</w:t>
      </w:r>
      <w:r>
        <w:rPr>
          <w:rFonts w:hint="eastAsia" w:ascii="宋体" w:hAnsi="宋体" w:cs="宋体"/>
          <w:color w:val="auto"/>
          <w:kern w:val="0"/>
          <w:szCs w:val="21"/>
        </w:rPr>
        <w:t>。</w:t>
      </w:r>
    </w:p>
    <w:p>
      <w:pPr>
        <w:numPr>
          <w:ilvl w:val="1"/>
          <w:numId w:val="2"/>
        </w:numPr>
        <w:tabs>
          <w:tab w:val="left" w:pos="1134"/>
        </w:tabs>
        <w:autoSpaceDE w:val="0"/>
        <w:autoSpaceDN w:val="0"/>
        <w:adjustRightInd w:val="0"/>
        <w:snapToGrid w:val="0"/>
        <w:spacing w:after="156" w:afterLines="50" w:line="400" w:lineRule="exact"/>
        <w:rPr>
          <w:rFonts w:ascii="宋体" w:hAnsi="宋体" w:cs="宋体"/>
          <w:color w:val="auto"/>
          <w:kern w:val="0"/>
          <w:szCs w:val="21"/>
        </w:rPr>
      </w:pPr>
      <w:r>
        <w:rPr>
          <w:rFonts w:hint="eastAsia" w:ascii="宋体" w:hAnsi="宋体" w:cs="宋体"/>
          <w:color w:val="auto"/>
          <w:kern w:val="0"/>
          <w:szCs w:val="21"/>
        </w:rPr>
        <w:t>对供应商相关要求</w:t>
      </w:r>
    </w:p>
    <w:p>
      <w:pPr>
        <w:numPr>
          <w:ilvl w:val="2"/>
          <w:numId w:val="2"/>
        </w:numPr>
        <w:tabs>
          <w:tab w:val="left" w:pos="1134"/>
          <w:tab w:val="left" w:pos="1260"/>
        </w:tabs>
        <w:autoSpaceDE w:val="0"/>
        <w:autoSpaceDN w:val="0"/>
        <w:adjustRightInd w:val="0"/>
        <w:snapToGrid w:val="0"/>
        <w:spacing w:after="156" w:afterLines="50" w:line="400" w:lineRule="exact"/>
        <w:rPr>
          <w:rFonts w:ascii="宋体" w:hAnsi="宋体" w:cs="宋体"/>
          <w:color w:val="auto"/>
          <w:kern w:val="0"/>
          <w:szCs w:val="21"/>
        </w:rPr>
      </w:pPr>
      <w:r>
        <w:rPr>
          <w:rFonts w:hint="eastAsia" w:ascii="宋体" w:hAnsi="宋体" w:cs="宋体"/>
          <w:color w:val="auto"/>
          <w:kern w:val="0"/>
          <w:szCs w:val="21"/>
        </w:rPr>
        <w:t>符合竞争性磋商公告</w:t>
      </w:r>
      <w:r>
        <w:rPr>
          <w:rFonts w:hint="eastAsia" w:ascii="宋体" w:hAnsi="宋体" w:cs="宋体"/>
          <w:color w:val="auto"/>
          <w:szCs w:val="21"/>
        </w:rPr>
        <w:t>或磋商邀请书</w:t>
      </w:r>
      <w:r>
        <w:rPr>
          <w:rFonts w:hint="eastAsia" w:ascii="宋体" w:hAnsi="宋体" w:cs="宋体"/>
          <w:color w:val="auto"/>
          <w:kern w:val="0"/>
          <w:szCs w:val="21"/>
        </w:rPr>
        <w:t>“供应商资格要求”。</w:t>
      </w:r>
    </w:p>
    <w:p>
      <w:pPr>
        <w:numPr>
          <w:ilvl w:val="2"/>
          <w:numId w:val="2"/>
        </w:numPr>
        <w:tabs>
          <w:tab w:val="left" w:pos="1480"/>
        </w:tabs>
        <w:autoSpaceDE w:val="0"/>
        <w:autoSpaceDN w:val="0"/>
        <w:adjustRightInd w:val="0"/>
        <w:snapToGrid w:val="0"/>
        <w:spacing w:after="156" w:afterLines="50" w:line="400" w:lineRule="exact"/>
        <w:ind w:left="0" w:firstLine="6"/>
        <w:rPr>
          <w:rFonts w:ascii="宋体" w:hAnsi="宋体" w:cs="宋体"/>
          <w:color w:val="auto"/>
          <w:kern w:val="0"/>
          <w:szCs w:val="21"/>
        </w:rPr>
      </w:pPr>
      <w:r>
        <w:rPr>
          <w:rFonts w:hint="eastAsia" w:ascii="宋体" w:hAnsi="宋体" w:cs="宋体"/>
          <w:color w:val="auto"/>
          <w:szCs w:val="21"/>
        </w:rPr>
        <w:t>供应商应当遵循公平竞争的原则，不得恶意串通，不得妨碍其他供应商的竞争行为，不得损害采购人或者其他供应商的合法权益。</w:t>
      </w:r>
    </w:p>
    <w:p>
      <w:pPr>
        <w:numPr>
          <w:ilvl w:val="2"/>
          <w:numId w:val="2"/>
        </w:numPr>
        <w:tabs>
          <w:tab w:val="left" w:pos="0"/>
          <w:tab w:val="left" w:pos="1260"/>
        </w:tabs>
        <w:autoSpaceDE w:val="0"/>
        <w:autoSpaceDN w:val="0"/>
        <w:adjustRightInd w:val="0"/>
        <w:snapToGrid w:val="0"/>
        <w:spacing w:after="156" w:afterLines="50" w:line="400" w:lineRule="exact"/>
        <w:ind w:left="14" w:hanging="14"/>
        <w:rPr>
          <w:rFonts w:ascii="宋体" w:hAnsi="宋体" w:cs="宋体"/>
          <w:color w:val="auto"/>
          <w:kern w:val="0"/>
          <w:szCs w:val="21"/>
        </w:rPr>
      </w:pPr>
      <w:r>
        <w:rPr>
          <w:rFonts w:hint="eastAsia" w:ascii="宋体" w:hAnsi="宋体" w:cs="宋体"/>
          <w:color w:val="auto"/>
          <w:kern w:val="0"/>
          <w:szCs w:val="21"/>
        </w:rPr>
        <w:t>供应商不得以向采购人、采购代理机构、磋商小组成员行贿或者采取其他不正当手段谋取成交。</w:t>
      </w:r>
    </w:p>
    <w:p>
      <w:pPr>
        <w:numPr>
          <w:ilvl w:val="2"/>
          <w:numId w:val="2"/>
        </w:numPr>
        <w:tabs>
          <w:tab w:val="left" w:pos="1134"/>
          <w:tab w:val="left" w:pos="1260"/>
        </w:tabs>
        <w:autoSpaceDE w:val="0"/>
        <w:autoSpaceDN w:val="0"/>
        <w:adjustRightInd w:val="0"/>
        <w:snapToGrid w:val="0"/>
        <w:spacing w:after="156" w:afterLines="50" w:line="400" w:lineRule="exact"/>
        <w:rPr>
          <w:rFonts w:ascii="宋体" w:hAnsi="宋体" w:cs="宋体"/>
          <w:color w:val="auto"/>
          <w:kern w:val="0"/>
          <w:szCs w:val="21"/>
        </w:rPr>
      </w:pPr>
      <w:r>
        <w:rPr>
          <w:rFonts w:hint="eastAsia" w:ascii="宋体" w:hAnsi="宋体" w:cs="宋体"/>
          <w:color w:val="auto"/>
          <w:kern w:val="0"/>
          <w:szCs w:val="21"/>
        </w:rPr>
        <w:t>竞争性磋商公告</w:t>
      </w:r>
      <w:r>
        <w:rPr>
          <w:rFonts w:hint="eastAsia" w:ascii="宋体" w:hAnsi="宋体" w:cs="宋体"/>
          <w:color w:val="auto"/>
          <w:szCs w:val="21"/>
        </w:rPr>
        <w:t>或磋商邀请书</w:t>
      </w:r>
      <w:r>
        <w:rPr>
          <w:rFonts w:hint="eastAsia" w:ascii="宋体" w:hAnsi="宋体" w:cs="宋体"/>
          <w:color w:val="auto"/>
          <w:kern w:val="0"/>
          <w:szCs w:val="21"/>
        </w:rPr>
        <w:t>规定接受联合体的，还应遵守以下规定：</w:t>
      </w:r>
    </w:p>
    <w:p>
      <w:pPr>
        <w:numPr>
          <w:ilvl w:val="0"/>
          <w:numId w:val="3"/>
        </w:numPr>
        <w:tabs>
          <w:tab w:val="left" w:pos="1701"/>
        </w:tabs>
        <w:autoSpaceDE w:val="0"/>
        <w:autoSpaceDN w:val="0"/>
        <w:adjustRightInd w:val="0"/>
        <w:snapToGrid w:val="0"/>
        <w:spacing w:after="156" w:afterLines="50" w:line="400" w:lineRule="exact"/>
        <w:ind w:left="0" w:firstLine="0"/>
        <w:rPr>
          <w:rFonts w:ascii="宋体" w:hAnsi="宋体" w:cs="宋体"/>
          <w:color w:val="auto"/>
          <w:szCs w:val="21"/>
        </w:rPr>
      </w:pPr>
      <w:r>
        <w:rPr>
          <w:rFonts w:hint="eastAsia" w:ascii="宋体" w:hAnsi="宋体" w:cs="宋体"/>
          <w:color w:val="auto"/>
          <w:szCs w:val="21"/>
        </w:rPr>
        <w:t>联合体各方应按磋商文件提供的格式签订联合体协议书，明确联合体牵头人和各方工作内容和义务；</w:t>
      </w:r>
    </w:p>
    <w:p>
      <w:pPr>
        <w:numPr>
          <w:ilvl w:val="0"/>
          <w:numId w:val="3"/>
        </w:numPr>
        <w:tabs>
          <w:tab w:val="left" w:pos="1701"/>
        </w:tabs>
        <w:autoSpaceDE w:val="0"/>
        <w:autoSpaceDN w:val="0"/>
        <w:adjustRightInd w:val="0"/>
        <w:snapToGrid w:val="0"/>
        <w:spacing w:after="156" w:afterLines="50" w:line="400" w:lineRule="exact"/>
        <w:ind w:left="0" w:firstLine="0"/>
        <w:rPr>
          <w:rFonts w:ascii="宋体" w:hAnsi="宋体" w:cs="宋体"/>
          <w:color w:val="auto"/>
          <w:szCs w:val="21"/>
        </w:rPr>
      </w:pPr>
      <w:r>
        <w:rPr>
          <w:rFonts w:hint="eastAsia" w:ascii="宋体" w:hAnsi="宋体" w:cs="宋体"/>
          <w:color w:val="auto"/>
          <w:szCs w:val="21"/>
        </w:rPr>
        <w:t>联合体中有同类资质的供应商按照联合体分工承担相同工作的，应当按照资质等级较低的供应商确定联合体的资质等级。</w:t>
      </w:r>
    </w:p>
    <w:p>
      <w:pPr>
        <w:numPr>
          <w:ilvl w:val="0"/>
          <w:numId w:val="3"/>
        </w:numPr>
        <w:tabs>
          <w:tab w:val="left" w:pos="1701"/>
        </w:tabs>
        <w:autoSpaceDE w:val="0"/>
        <w:autoSpaceDN w:val="0"/>
        <w:adjustRightInd w:val="0"/>
        <w:snapToGrid w:val="0"/>
        <w:spacing w:after="156" w:afterLines="50" w:line="400" w:lineRule="exact"/>
        <w:ind w:left="19" w:hanging="19"/>
        <w:rPr>
          <w:rFonts w:ascii="宋体" w:hAnsi="宋体" w:cs="宋体"/>
          <w:color w:val="auto"/>
          <w:szCs w:val="21"/>
        </w:rPr>
      </w:pPr>
      <w:r>
        <w:rPr>
          <w:rFonts w:hint="eastAsia" w:ascii="宋体" w:hAnsi="宋体" w:cs="宋体"/>
          <w:color w:val="auto"/>
          <w:szCs w:val="21"/>
        </w:rPr>
        <w:t>联合体各方不得再单独参加或者与其他供应商另外组成联合体参加同一合同项下的磋商。</w:t>
      </w:r>
    </w:p>
    <w:p>
      <w:pPr>
        <w:numPr>
          <w:ilvl w:val="0"/>
          <w:numId w:val="3"/>
        </w:numPr>
        <w:tabs>
          <w:tab w:val="left" w:pos="1701"/>
        </w:tabs>
        <w:autoSpaceDE w:val="0"/>
        <w:autoSpaceDN w:val="0"/>
        <w:adjustRightInd w:val="0"/>
        <w:snapToGrid w:val="0"/>
        <w:spacing w:after="156" w:afterLines="50" w:line="400" w:lineRule="exact"/>
        <w:ind w:left="19" w:hanging="19"/>
        <w:rPr>
          <w:rFonts w:ascii="宋体" w:hAnsi="宋体" w:cs="宋体"/>
          <w:color w:val="auto"/>
          <w:szCs w:val="21"/>
        </w:rPr>
      </w:pPr>
      <w:r>
        <w:rPr>
          <w:rFonts w:hint="eastAsia" w:ascii="宋体" w:hAnsi="宋体" w:cs="宋体"/>
          <w:color w:val="auto"/>
          <w:szCs w:val="21"/>
        </w:rPr>
        <w:t>联合体各方应当共同与采购人签订采购合同，就合同约定的事项对采购人承担连带责任。</w:t>
      </w:r>
    </w:p>
    <w:p>
      <w:pPr>
        <w:numPr>
          <w:ilvl w:val="1"/>
          <w:numId w:val="2"/>
        </w:numPr>
        <w:tabs>
          <w:tab w:val="left" w:pos="1134"/>
        </w:tabs>
        <w:autoSpaceDE w:val="0"/>
        <w:autoSpaceDN w:val="0"/>
        <w:adjustRightInd w:val="0"/>
        <w:snapToGrid w:val="0"/>
        <w:spacing w:after="156" w:afterLines="50" w:line="400" w:lineRule="exact"/>
        <w:rPr>
          <w:rFonts w:ascii="宋体" w:hAnsi="宋体" w:cs="宋体"/>
          <w:color w:val="auto"/>
          <w:kern w:val="0"/>
          <w:szCs w:val="21"/>
        </w:rPr>
      </w:pPr>
      <w:r>
        <w:rPr>
          <w:rFonts w:hint="eastAsia" w:ascii="宋体" w:hAnsi="宋体" w:cs="宋体"/>
          <w:color w:val="auto"/>
          <w:kern w:val="0"/>
          <w:szCs w:val="21"/>
        </w:rPr>
        <w:t>本项目将执行在政府采购活动中查询及使用信用记录的规定，具体要求为：</w:t>
      </w:r>
    </w:p>
    <w:p>
      <w:pPr>
        <w:numPr>
          <w:ilvl w:val="0"/>
          <w:numId w:val="4"/>
        </w:numPr>
        <w:tabs>
          <w:tab w:val="left" w:pos="1701"/>
        </w:tabs>
        <w:autoSpaceDE w:val="0"/>
        <w:autoSpaceDN w:val="0"/>
        <w:adjustRightInd w:val="0"/>
        <w:snapToGrid w:val="0"/>
        <w:spacing w:after="156" w:afterLines="50" w:line="400" w:lineRule="exact"/>
        <w:ind w:hanging="1499"/>
        <w:rPr>
          <w:rFonts w:ascii="宋体" w:hAnsi="宋体" w:cs="宋体"/>
          <w:color w:val="auto"/>
          <w:szCs w:val="21"/>
        </w:rPr>
      </w:pPr>
      <w:r>
        <w:rPr>
          <w:rFonts w:hint="eastAsia" w:ascii="宋体" w:hAnsi="宋体" w:cs="宋体"/>
          <w:color w:val="auto"/>
          <w:szCs w:val="21"/>
        </w:rPr>
        <w:t>信用信息查询的截止时点：递交首次响应文件截止时间。</w:t>
      </w:r>
    </w:p>
    <w:p>
      <w:pPr>
        <w:numPr>
          <w:ilvl w:val="0"/>
          <w:numId w:val="4"/>
        </w:numPr>
        <w:tabs>
          <w:tab w:val="left" w:pos="1701"/>
        </w:tabs>
        <w:autoSpaceDE w:val="0"/>
        <w:autoSpaceDN w:val="0"/>
        <w:adjustRightInd w:val="0"/>
        <w:snapToGrid w:val="0"/>
        <w:spacing w:after="156" w:afterLines="50" w:line="400" w:lineRule="exact"/>
        <w:ind w:left="19" w:hanging="19"/>
        <w:rPr>
          <w:rFonts w:ascii="宋体" w:hAnsi="宋体" w:cs="宋体"/>
          <w:color w:val="auto"/>
          <w:szCs w:val="21"/>
        </w:rPr>
      </w:pPr>
      <w:r>
        <w:rPr>
          <w:rFonts w:hint="eastAsia" w:ascii="宋体" w:hAnsi="宋体" w:cs="宋体"/>
          <w:color w:val="auto"/>
          <w:szCs w:val="21"/>
        </w:rPr>
        <w:t xml:space="preserve">查询渠道：“信用中国”网站（www.creditchina.gov.cn）和中国政府采购网（www.ccgp.gov.cn）； </w:t>
      </w:r>
    </w:p>
    <w:p>
      <w:pPr>
        <w:numPr>
          <w:ilvl w:val="0"/>
          <w:numId w:val="4"/>
        </w:numPr>
        <w:tabs>
          <w:tab w:val="left" w:pos="1701"/>
        </w:tabs>
        <w:autoSpaceDE w:val="0"/>
        <w:autoSpaceDN w:val="0"/>
        <w:adjustRightInd w:val="0"/>
        <w:snapToGrid w:val="0"/>
        <w:spacing w:after="156" w:afterLines="50" w:line="400" w:lineRule="exact"/>
        <w:ind w:left="0" w:hanging="19"/>
        <w:rPr>
          <w:rFonts w:ascii="宋体" w:hAnsi="宋体" w:cs="宋体"/>
          <w:color w:val="auto"/>
          <w:szCs w:val="21"/>
        </w:rPr>
      </w:pPr>
      <w:r>
        <w:rPr>
          <w:rFonts w:hint="eastAsia" w:ascii="宋体" w:hAnsi="宋体" w:cs="宋体"/>
          <w:color w:val="auto"/>
          <w:szCs w:val="21"/>
        </w:rPr>
        <w:t>信用信息查询记录和证据留存具体方式：将经查询存在不良信用记录的潜在供应商的查询结果网页截图作为查询记录和证据，与其他磋商文件一并保存；</w:t>
      </w:r>
    </w:p>
    <w:p>
      <w:pPr>
        <w:numPr>
          <w:ilvl w:val="0"/>
          <w:numId w:val="4"/>
        </w:numPr>
        <w:tabs>
          <w:tab w:val="left" w:pos="1701"/>
        </w:tabs>
        <w:autoSpaceDE w:val="0"/>
        <w:autoSpaceDN w:val="0"/>
        <w:adjustRightInd w:val="0"/>
        <w:snapToGrid w:val="0"/>
        <w:spacing w:after="156" w:afterLines="50" w:line="400" w:lineRule="exact"/>
        <w:ind w:left="19" w:hanging="19"/>
        <w:rPr>
          <w:rFonts w:ascii="宋体" w:hAnsi="宋体" w:cs="宋体"/>
          <w:color w:val="auto"/>
          <w:szCs w:val="21"/>
        </w:rPr>
      </w:pPr>
      <w:r>
        <w:rPr>
          <w:rFonts w:hint="eastAsia" w:ascii="宋体" w:hAnsi="宋体" w:cs="宋体"/>
          <w:color w:val="auto"/>
          <w:szCs w:val="21"/>
        </w:rPr>
        <w:t>信用信息的使用规则：本政府采购项目的供应商在信用信息查询截止时点（含）之前存在第一章竞争性磋商公告/磋商邀请书“供应商资格要求”中所述不良信用记录的，不得参与磋商。</w:t>
      </w:r>
    </w:p>
    <w:p>
      <w:pPr>
        <w:numPr>
          <w:ilvl w:val="1"/>
          <w:numId w:val="2"/>
        </w:numPr>
        <w:tabs>
          <w:tab w:val="left" w:pos="1134"/>
        </w:tabs>
        <w:autoSpaceDE w:val="0"/>
        <w:autoSpaceDN w:val="0"/>
        <w:adjustRightInd w:val="0"/>
        <w:snapToGrid w:val="0"/>
        <w:spacing w:after="156" w:afterLines="50" w:line="400" w:lineRule="exact"/>
        <w:rPr>
          <w:rFonts w:ascii="宋体" w:hAnsi="宋体" w:cs="宋体"/>
          <w:color w:val="auto"/>
          <w:kern w:val="0"/>
          <w:szCs w:val="21"/>
        </w:rPr>
      </w:pPr>
      <w:bookmarkStart w:id="78" w:name="_Ref527101463"/>
      <w:r>
        <w:rPr>
          <w:rFonts w:hint="eastAsia" w:ascii="宋体" w:hAnsi="宋体" w:cs="宋体"/>
          <w:color w:val="auto"/>
          <w:kern w:val="0"/>
          <w:szCs w:val="21"/>
        </w:rPr>
        <w:t>分包</w:t>
      </w:r>
      <w:bookmarkEnd w:id="78"/>
    </w:p>
    <w:p>
      <w:pPr>
        <w:autoSpaceDE w:val="0"/>
        <w:autoSpaceDN w:val="0"/>
        <w:adjustRightInd w:val="0"/>
        <w:snapToGrid w:val="0"/>
        <w:spacing w:after="156" w:afterLines="50" w:line="400" w:lineRule="exact"/>
        <w:ind w:firstLine="420" w:firstLineChars="200"/>
        <w:rPr>
          <w:rFonts w:ascii="宋体" w:hAnsi="宋体" w:cs="宋体"/>
          <w:color w:val="auto"/>
          <w:szCs w:val="21"/>
        </w:rPr>
      </w:pPr>
      <w:r>
        <w:rPr>
          <w:rFonts w:hint="eastAsia" w:ascii="宋体" w:hAnsi="宋体" w:cs="宋体"/>
          <w:color w:val="auto"/>
          <w:kern w:val="0"/>
          <w:szCs w:val="21"/>
        </w:rPr>
        <w:t>供应商须知前附表规定允许分包的，供应</w:t>
      </w:r>
      <w:r>
        <w:rPr>
          <w:rFonts w:hint="eastAsia" w:ascii="宋体" w:hAnsi="宋体" w:cs="宋体"/>
          <w:color w:val="auto"/>
          <w:szCs w:val="21"/>
        </w:rPr>
        <w:t>商应根据磋商文件的规定和采购项目的实际情况，将拟在成交后将采购项目的非主体、非关键性工作分包的，在响应文件中载明分包承担主体，分包承担主体应当具备相应资质条件且不得再次分包。政府采购合同分包履行的，成交供应商就采购项目和分包项目向采购人负责，分包人就分包项目承担责任。</w:t>
      </w:r>
    </w:p>
    <w:p>
      <w:pPr>
        <w:numPr>
          <w:ilvl w:val="1"/>
          <w:numId w:val="2"/>
        </w:numPr>
        <w:tabs>
          <w:tab w:val="left" w:pos="1134"/>
        </w:tabs>
        <w:autoSpaceDE w:val="0"/>
        <w:autoSpaceDN w:val="0"/>
        <w:adjustRightInd w:val="0"/>
        <w:snapToGrid w:val="0"/>
        <w:spacing w:after="156" w:afterLines="50" w:line="400" w:lineRule="exact"/>
        <w:rPr>
          <w:rFonts w:ascii="宋体" w:hAnsi="宋体" w:cs="宋体"/>
          <w:color w:val="auto"/>
          <w:kern w:val="0"/>
          <w:szCs w:val="21"/>
        </w:rPr>
      </w:pPr>
      <w:bookmarkStart w:id="79" w:name="_Toc195921799"/>
      <w:r>
        <w:rPr>
          <w:rFonts w:hint="eastAsia" w:ascii="宋体" w:hAnsi="宋体" w:cs="宋体"/>
          <w:color w:val="auto"/>
          <w:kern w:val="0"/>
          <w:szCs w:val="21"/>
        </w:rPr>
        <w:t>费用承担</w:t>
      </w:r>
      <w:bookmarkEnd w:id="79"/>
    </w:p>
    <w:p>
      <w:pPr>
        <w:autoSpaceDE w:val="0"/>
        <w:autoSpaceDN w:val="0"/>
        <w:adjustRightInd w:val="0"/>
        <w:snapToGrid w:val="0"/>
        <w:spacing w:after="156" w:afterLines="50" w:line="400" w:lineRule="exact"/>
        <w:ind w:left="420" w:leftChars="200"/>
        <w:rPr>
          <w:rFonts w:ascii="宋体" w:hAnsi="宋体" w:cs="宋体"/>
          <w:color w:val="auto"/>
          <w:kern w:val="0"/>
          <w:szCs w:val="21"/>
        </w:rPr>
      </w:pPr>
      <w:r>
        <w:rPr>
          <w:rFonts w:hint="eastAsia" w:ascii="宋体" w:hAnsi="宋体" w:cs="宋体"/>
          <w:color w:val="auto"/>
          <w:kern w:val="0"/>
          <w:szCs w:val="21"/>
        </w:rPr>
        <w:t>供应商准备和参加磋商活动发生的费用自理。</w:t>
      </w:r>
    </w:p>
    <w:p>
      <w:pPr>
        <w:numPr>
          <w:ilvl w:val="1"/>
          <w:numId w:val="2"/>
        </w:numPr>
        <w:tabs>
          <w:tab w:val="left" w:pos="1134"/>
        </w:tabs>
        <w:autoSpaceDE w:val="0"/>
        <w:autoSpaceDN w:val="0"/>
        <w:adjustRightInd w:val="0"/>
        <w:snapToGrid w:val="0"/>
        <w:spacing w:after="156" w:afterLines="50" w:line="400" w:lineRule="exact"/>
        <w:rPr>
          <w:rFonts w:ascii="宋体" w:hAnsi="宋体" w:cs="宋体"/>
          <w:color w:val="auto"/>
          <w:kern w:val="0"/>
          <w:szCs w:val="21"/>
        </w:rPr>
      </w:pPr>
      <w:bookmarkStart w:id="80" w:name="_Toc195921800"/>
      <w:r>
        <w:rPr>
          <w:rFonts w:hint="eastAsia" w:ascii="宋体" w:hAnsi="宋体" w:cs="宋体"/>
          <w:color w:val="auto"/>
          <w:kern w:val="0"/>
          <w:szCs w:val="21"/>
        </w:rPr>
        <w:t>保密</w:t>
      </w:r>
      <w:bookmarkEnd w:id="80"/>
    </w:p>
    <w:p>
      <w:pPr>
        <w:autoSpaceDE w:val="0"/>
        <w:autoSpaceDN w:val="0"/>
        <w:adjustRightInd w:val="0"/>
        <w:snapToGrid w:val="0"/>
        <w:spacing w:after="156" w:afterLines="50" w:line="400" w:lineRule="exact"/>
        <w:ind w:firstLine="420" w:firstLineChars="200"/>
        <w:rPr>
          <w:rFonts w:ascii="宋体" w:hAnsi="宋体" w:cs="宋体"/>
          <w:color w:val="auto"/>
          <w:kern w:val="0"/>
          <w:szCs w:val="21"/>
        </w:rPr>
      </w:pPr>
      <w:r>
        <w:rPr>
          <w:rFonts w:hint="eastAsia" w:ascii="宋体" w:hAnsi="宋体" w:cs="宋体"/>
          <w:color w:val="auto"/>
          <w:kern w:val="0"/>
          <w:szCs w:val="21"/>
        </w:rPr>
        <w:t>参与磋商活动的各方应对磋商文件和响应文件中的商业和技术等秘密保密，违者应对由此造成的后果承担法律责任。</w:t>
      </w:r>
    </w:p>
    <w:p>
      <w:pPr>
        <w:numPr>
          <w:ilvl w:val="1"/>
          <w:numId w:val="2"/>
        </w:numPr>
        <w:tabs>
          <w:tab w:val="left" w:pos="1134"/>
        </w:tabs>
        <w:autoSpaceDE w:val="0"/>
        <w:autoSpaceDN w:val="0"/>
        <w:adjustRightInd w:val="0"/>
        <w:snapToGrid w:val="0"/>
        <w:spacing w:after="156" w:afterLines="50" w:line="400" w:lineRule="exact"/>
        <w:rPr>
          <w:rFonts w:ascii="宋体" w:hAnsi="宋体" w:cs="宋体"/>
          <w:color w:val="auto"/>
          <w:kern w:val="0"/>
          <w:szCs w:val="21"/>
        </w:rPr>
      </w:pPr>
      <w:bookmarkStart w:id="81" w:name="_Toc195921801"/>
      <w:r>
        <w:rPr>
          <w:rFonts w:hint="eastAsia" w:ascii="宋体" w:hAnsi="宋体" w:cs="宋体"/>
          <w:color w:val="auto"/>
          <w:kern w:val="0"/>
          <w:szCs w:val="21"/>
        </w:rPr>
        <w:t>语言文字</w:t>
      </w:r>
      <w:bookmarkEnd w:id="81"/>
    </w:p>
    <w:p>
      <w:pPr>
        <w:autoSpaceDE w:val="0"/>
        <w:autoSpaceDN w:val="0"/>
        <w:adjustRightInd w:val="0"/>
        <w:snapToGrid w:val="0"/>
        <w:spacing w:after="156" w:afterLines="50" w:line="400" w:lineRule="exact"/>
        <w:ind w:left="420" w:leftChars="200"/>
        <w:rPr>
          <w:rFonts w:ascii="宋体" w:hAnsi="宋体" w:cs="宋体"/>
          <w:color w:val="auto"/>
          <w:kern w:val="0"/>
          <w:szCs w:val="21"/>
        </w:rPr>
      </w:pPr>
      <w:r>
        <w:rPr>
          <w:rFonts w:hint="eastAsia" w:ascii="宋体" w:hAnsi="宋体" w:cs="宋体"/>
          <w:color w:val="auto"/>
          <w:kern w:val="0"/>
          <w:szCs w:val="21"/>
        </w:rPr>
        <w:t>除专用术语外，与磋商有关的语言均使用中文。必要时专用术语应附有中文注释。</w:t>
      </w:r>
    </w:p>
    <w:p>
      <w:pPr>
        <w:numPr>
          <w:ilvl w:val="1"/>
          <w:numId w:val="2"/>
        </w:numPr>
        <w:tabs>
          <w:tab w:val="left" w:pos="1134"/>
        </w:tabs>
        <w:autoSpaceDE w:val="0"/>
        <w:autoSpaceDN w:val="0"/>
        <w:adjustRightInd w:val="0"/>
        <w:snapToGrid w:val="0"/>
        <w:spacing w:after="156" w:afterLines="50" w:line="400" w:lineRule="exact"/>
        <w:rPr>
          <w:rFonts w:ascii="宋体" w:hAnsi="宋体" w:cs="宋体"/>
          <w:color w:val="auto"/>
          <w:kern w:val="0"/>
          <w:szCs w:val="21"/>
        </w:rPr>
      </w:pPr>
      <w:bookmarkStart w:id="82" w:name="_Toc195921802"/>
      <w:r>
        <w:rPr>
          <w:rFonts w:hint="eastAsia" w:ascii="宋体" w:hAnsi="宋体" w:cs="宋体"/>
          <w:color w:val="auto"/>
          <w:kern w:val="0"/>
          <w:szCs w:val="21"/>
        </w:rPr>
        <w:t>计量单位</w:t>
      </w:r>
      <w:bookmarkEnd w:id="82"/>
    </w:p>
    <w:p>
      <w:pPr>
        <w:autoSpaceDE w:val="0"/>
        <w:autoSpaceDN w:val="0"/>
        <w:adjustRightInd w:val="0"/>
        <w:snapToGrid w:val="0"/>
        <w:spacing w:after="156" w:afterLines="50" w:line="400" w:lineRule="exact"/>
        <w:ind w:left="420" w:leftChars="200"/>
        <w:rPr>
          <w:rFonts w:ascii="宋体" w:hAnsi="宋体" w:cs="宋体"/>
          <w:color w:val="auto"/>
          <w:kern w:val="0"/>
          <w:szCs w:val="21"/>
        </w:rPr>
      </w:pPr>
      <w:r>
        <w:rPr>
          <w:rFonts w:hint="eastAsia" w:ascii="宋体" w:hAnsi="宋体" w:cs="宋体"/>
          <w:color w:val="auto"/>
          <w:kern w:val="0"/>
          <w:szCs w:val="21"/>
        </w:rPr>
        <w:t>所有计量均采用中华人民共和国法定计量单位。</w:t>
      </w:r>
    </w:p>
    <w:p>
      <w:pPr>
        <w:numPr>
          <w:ilvl w:val="1"/>
          <w:numId w:val="2"/>
        </w:numPr>
        <w:tabs>
          <w:tab w:val="left" w:pos="1134"/>
        </w:tabs>
        <w:autoSpaceDE w:val="0"/>
        <w:autoSpaceDN w:val="0"/>
        <w:adjustRightInd w:val="0"/>
        <w:snapToGrid w:val="0"/>
        <w:spacing w:after="156" w:afterLines="50" w:line="400" w:lineRule="exact"/>
        <w:rPr>
          <w:rFonts w:ascii="宋体" w:hAnsi="宋体" w:cs="宋体"/>
          <w:color w:val="auto"/>
          <w:kern w:val="0"/>
          <w:szCs w:val="21"/>
        </w:rPr>
      </w:pPr>
      <w:bookmarkStart w:id="83" w:name="_Ref527101478"/>
      <w:r>
        <w:rPr>
          <w:rFonts w:hint="eastAsia" w:ascii="宋体" w:hAnsi="宋体" w:cs="宋体"/>
          <w:color w:val="auto"/>
          <w:kern w:val="0"/>
          <w:szCs w:val="21"/>
        </w:rPr>
        <w:t>踏勘现场</w:t>
      </w:r>
      <w:bookmarkEnd w:id="83"/>
    </w:p>
    <w:p>
      <w:pPr>
        <w:numPr>
          <w:ilvl w:val="2"/>
          <w:numId w:val="2"/>
        </w:numPr>
        <w:tabs>
          <w:tab w:val="left" w:pos="1260"/>
        </w:tabs>
        <w:autoSpaceDE w:val="0"/>
        <w:autoSpaceDN w:val="0"/>
        <w:adjustRightInd w:val="0"/>
        <w:snapToGrid w:val="0"/>
        <w:spacing w:after="156" w:afterLines="50" w:line="400" w:lineRule="exact"/>
        <w:ind w:left="14" w:hanging="14"/>
        <w:rPr>
          <w:rFonts w:ascii="宋体" w:hAnsi="宋体" w:cs="宋体"/>
          <w:color w:val="auto"/>
          <w:kern w:val="0"/>
          <w:szCs w:val="21"/>
        </w:rPr>
      </w:pPr>
      <w:bookmarkStart w:id="84" w:name="_Ref527292580"/>
      <w:r>
        <w:rPr>
          <w:rFonts w:hint="eastAsia" w:ascii="宋体" w:hAnsi="宋体" w:cs="宋体"/>
          <w:color w:val="auto"/>
          <w:kern w:val="0"/>
          <w:szCs w:val="21"/>
        </w:rPr>
        <w:t>供应商须知前附表规定组织踏勘现场的，采购人须按照规定时间、地点组织供应商踏勘项目现场。</w:t>
      </w:r>
      <w:bookmarkEnd w:id="84"/>
    </w:p>
    <w:p>
      <w:pPr>
        <w:numPr>
          <w:ilvl w:val="2"/>
          <w:numId w:val="2"/>
        </w:numPr>
        <w:tabs>
          <w:tab w:val="left" w:pos="1134"/>
          <w:tab w:val="left" w:pos="1260"/>
        </w:tabs>
        <w:autoSpaceDE w:val="0"/>
        <w:autoSpaceDN w:val="0"/>
        <w:adjustRightInd w:val="0"/>
        <w:snapToGrid w:val="0"/>
        <w:spacing w:after="156" w:afterLines="50" w:line="400" w:lineRule="exact"/>
        <w:rPr>
          <w:rFonts w:ascii="宋体" w:hAnsi="宋体" w:cs="宋体"/>
          <w:color w:val="auto"/>
          <w:kern w:val="0"/>
          <w:szCs w:val="21"/>
        </w:rPr>
      </w:pPr>
      <w:r>
        <w:rPr>
          <w:rFonts w:hint="eastAsia" w:ascii="宋体" w:hAnsi="宋体" w:cs="宋体"/>
          <w:color w:val="auto"/>
          <w:kern w:val="0"/>
          <w:szCs w:val="21"/>
        </w:rPr>
        <w:t>供应商承担踏勘现场所发生的自身费用、责任和风险。</w:t>
      </w:r>
    </w:p>
    <w:p>
      <w:pPr>
        <w:numPr>
          <w:ilvl w:val="2"/>
          <w:numId w:val="2"/>
        </w:numPr>
        <w:tabs>
          <w:tab w:val="left" w:pos="1480"/>
        </w:tabs>
        <w:autoSpaceDE w:val="0"/>
        <w:autoSpaceDN w:val="0"/>
        <w:adjustRightInd w:val="0"/>
        <w:snapToGrid w:val="0"/>
        <w:spacing w:after="156" w:afterLines="50" w:line="400" w:lineRule="exact"/>
        <w:ind w:left="0" w:firstLine="0"/>
        <w:rPr>
          <w:rFonts w:ascii="宋体" w:hAnsi="宋体" w:cs="宋体"/>
          <w:color w:val="auto"/>
          <w:kern w:val="0"/>
          <w:szCs w:val="21"/>
        </w:rPr>
      </w:pPr>
      <w:r>
        <w:rPr>
          <w:rFonts w:hint="eastAsia" w:ascii="宋体" w:hAnsi="宋体" w:cs="宋体"/>
          <w:color w:val="auto"/>
          <w:kern w:val="0"/>
          <w:szCs w:val="21"/>
        </w:rPr>
        <w:t>采购人向供应商提供的有关现场的资料和数据，是采购人现有的能被供应商利用的资料，采购人不对供应商由此而做出的推论、理解和结论负责。</w:t>
      </w:r>
    </w:p>
    <w:p>
      <w:pPr>
        <w:numPr>
          <w:ilvl w:val="2"/>
          <w:numId w:val="2"/>
        </w:numPr>
        <w:tabs>
          <w:tab w:val="left" w:pos="1260"/>
        </w:tabs>
        <w:autoSpaceDE w:val="0"/>
        <w:autoSpaceDN w:val="0"/>
        <w:adjustRightInd w:val="0"/>
        <w:snapToGrid w:val="0"/>
        <w:spacing w:after="156" w:afterLines="50" w:line="400" w:lineRule="exact"/>
        <w:ind w:left="14" w:hanging="14"/>
        <w:rPr>
          <w:rFonts w:ascii="宋体" w:hAnsi="宋体" w:cs="宋体"/>
          <w:color w:val="auto"/>
          <w:kern w:val="0"/>
          <w:szCs w:val="21"/>
        </w:rPr>
      </w:pPr>
      <w:r>
        <w:rPr>
          <w:rFonts w:hint="eastAsia" w:ascii="宋体" w:hAnsi="宋体" w:cs="宋体"/>
          <w:color w:val="auto"/>
          <w:kern w:val="0"/>
          <w:szCs w:val="21"/>
        </w:rPr>
        <w:t>除采购人原因外，供应商应对踏勘现场而造成的人员伤亡、财产损失以及由此引起的连带责任和费用负责。</w:t>
      </w:r>
    </w:p>
    <w:p>
      <w:pPr>
        <w:numPr>
          <w:ilvl w:val="0"/>
          <w:numId w:val="2"/>
        </w:numPr>
        <w:tabs>
          <w:tab w:val="left" w:pos="1134"/>
        </w:tabs>
        <w:autoSpaceDE w:val="0"/>
        <w:autoSpaceDN w:val="0"/>
        <w:adjustRightInd w:val="0"/>
        <w:spacing w:after="156" w:afterLines="50" w:line="400" w:lineRule="exact"/>
        <w:outlineLvl w:val="2"/>
        <w:rPr>
          <w:rFonts w:ascii="宋体" w:hAnsi="宋体" w:cs="宋体"/>
          <w:color w:val="auto"/>
          <w:kern w:val="0"/>
          <w:szCs w:val="21"/>
        </w:rPr>
      </w:pPr>
      <w:bookmarkStart w:id="85" w:name="_Toc4433560"/>
      <w:bookmarkStart w:id="86" w:name="_Toc3220169"/>
      <w:r>
        <w:rPr>
          <w:rFonts w:hint="eastAsia" w:ascii="宋体" w:hAnsi="宋体" w:cs="宋体"/>
          <w:color w:val="auto"/>
          <w:kern w:val="0"/>
          <w:szCs w:val="21"/>
        </w:rPr>
        <w:t>磋商文件</w:t>
      </w:r>
      <w:bookmarkEnd w:id="85"/>
      <w:bookmarkEnd w:id="86"/>
    </w:p>
    <w:p>
      <w:pPr>
        <w:numPr>
          <w:ilvl w:val="1"/>
          <w:numId w:val="2"/>
        </w:numPr>
        <w:tabs>
          <w:tab w:val="left" w:pos="1134"/>
        </w:tabs>
        <w:autoSpaceDE w:val="0"/>
        <w:autoSpaceDN w:val="0"/>
        <w:adjustRightInd w:val="0"/>
        <w:snapToGrid w:val="0"/>
        <w:spacing w:after="156" w:afterLines="50" w:line="400" w:lineRule="exact"/>
        <w:rPr>
          <w:rFonts w:ascii="宋体" w:hAnsi="宋体" w:cs="宋体"/>
          <w:color w:val="auto"/>
          <w:kern w:val="0"/>
          <w:szCs w:val="21"/>
        </w:rPr>
      </w:pPr>
      <w:bookmarkStart w:id="87" w:name="_Toc195921808"/>
      <w:r>
        <w:rPr>
          <w:rFonts w:hint="eastAsia" w:ascii="宋体" w:hAnsi="宋体" w:cs="宋体"/>
          <w:color w:val="auto"/>
          <w:kern w:val="0"/>
          <w:szCs w:val="21"/>
        </w:rPr>
        <w:t>磋商文件的组成</w:t>
      </w:r>
      <w:bookmarkEnd w:id="87"/>
    </w:p>
    <w:p>
      <w:pPr>
        <w:autoSpaceDE w:val="0"/>
        <w:autoSpaceDN w:val="0"/>
        <w:adjustRightInd w:val="0"/>
        <w:snapToGrid w:val="0"/>
        <w:spacing w:after="156" w:afterLines="50" w:line="400" w:lineRule="exact"/>
        <w:ind w:left="218" w:leftChars="104"/>
        <w:rPr>
          <w:rFonts w:ascii="宋体" w:hAnsi="宋体" w:cs="宋体"/>
          <w:color w:val="auto"/>
          <w:kern w:val="0"/>
          <w:szCs w:val="21"/>
        </w:rPr>
      </w:pPr>
      <w:r>
        <w:rPr>
          <w:rFonts w:hint="eastAsia" w:ascii="宋体" w:hAnsi="宋体" w:cs="宋体"/>
          <w:color w:val="auto"/>
          <w:kern w:val="0"/>
          <w:szCs w:val="21"/>
        </w:rPr>
        <w:t>本磋商文件包括：</w:t>
      </w:r>
    </w:p>
    <w:p>
      <w:pPr>
        <w:pStyle w:val="281"/>
        <w:numPr>
          <w:ilvl w:val="0"/>
          <w:numId w:val="5"/>
        </w:numPr>
        <w:autoSpaceDE w:val="0"/>
        <w:autoSpaceDN w:val="0"/>
        <w:adjustRightInd w:val="0"/>
        <w:snapToGrid w:val="0"/>
        <w:spacing w:after="156" w:afterLines="50" w:line="400" w:lineRule="exact"/>
        <w:ind w:hanging="1499" w:firstLineChars="0"/>
        <w:rPr>
          <w:rFonts w:ascii="宋体" w:hAnsi="宋体" w:cs="宋体"/>
          <w:color w:val="auto"/>
          <w:kern w:val="0"/>
          <w:szCs w:val="21"/>
        </w:rPr>
      </w:pPr>
      <w:r>
        <w:rPr>
          <w:rFonts w:hint="eastAsia" w:ascii="宋体" w:hAnsi="宋体" w:cs="宋体"/>
          <w:color w:val="auto"/>
          <w:kern w:val="0"/>
          <w:szCs w:val="21"/>
        </w:rPr>
        <w:t>竞争性磋商公告；</w:t>
      </w:r>
    </w:p>
    <w:p>
      <w:pPr>
        <w:pStyle w:val="281"/>
        <w:numPr>
          <w:ilvl w:val="0"/>
          <w:numId w:val="5"/>
        </w:numPr>
        <w:autoSpaceDE w:val="0"/>
        <w:autoSpaceDN w:val="0"/>
        <w:adjustRightInd w:val="0"/>
        <w:snapToGrid w:val="0"/>
        <w:spacing w:after="156" w:afterLines="50" w:line="400" w:lineRule="exact"/>
        <w:ind w:hanging="1499" w:firstLineChars="0"/>
        <w:rPr>
          <w:rFonts w:ascii="宋体" w:hAnsi="宋体" w:cs="宋体"/>
          <w:color w:val="auto"/>
          <w:kern w:val="0"/>
          <w:szCs w:val="21"/>
        </w:rPr>
      </w:pPr>
      <w:r>
        <w:rPr>
          <w:rFonts w:hint="eastAsia" w:ascii="宋体" w:hAnsi="宋体" w:cs="宋体"/>
          <w:color w:val="auto"/>
          <w:kern w:val="0"/>
          <w:szCs w:val="21"/>
        </w:rPr>
        <w:t>供应商须知；</w:t>
      </w:r>
    </w:p>
    <w:p>
      <w:pPr>
        <w:pStyle w:val="281"/>
        <w:numPr>
          <w:ilvl w:val="0"/>
          <w:numId w:val="5"/>
        </w:numPr>
        <w:autoSpaceDE w:val="0"/>
        <w:autoSpaceDN w:val="0"/>
        <w:adjustRightInd w:val="0"/>
        <w:snapToGrid w:val="0"/>
        <w:spacing w:after="156" w:afterLines="50" w:line="400" w:lineRule="exact"/>
        <w:ind w:hanging="1499" w:firstLineChars="0"/>
        <w:rPr>
          <w:rFonts w:ascii="宋体" w:hAnsi="宋体" w:cs="宋体"/>
          <w:color w:val="auto"/>
          <w:kern w:val="0"/>
          <w:szCs w:val="21"/>
        </w:rPr>
      </w:pPr>
      <w:r>
        <w:rPr>
          <w:rFonts w:hint="eastAsia" w:ascii="宋体" w:hAnsi="宋体" w:cs="宋体"/>
          <w:color w:val="auto"/>
          <w:kern w:val="0"/>
          <w:szCs w:val="21"/>
        </w:rPr>
        <w:t>评审办法和标准；</w:t>
      </w:r>
    </w:p>
    <w:p>
      <w:pPr>
        <w:pStyle w:val="281"/>
        <w:numPr>
          <w:ilvl w:val="0"/>
          <w:numId w:val="5"/>
        </w:numPr>
        <w:autoSpaceDE w:val="0"/>
        <w:autoSpaceDN w:val="0"/>
        <w:adjustRightInd w:val="0"/>
        <w:snapToGrid w:val="0"/>
        <w:spacing w:after="156" w:afterLines="50" w:line="400" w:lineRule="exact"/>
        <w:ind w:hanging="1499" w:firstLineChars="0"/>
        <w:rPr>
          <w:rFonts w:ascii="宋体" w:hAnsi="宋体" w:cs="宋体"/>
          <w:color w:val="auto"/>
          <w:kern w:val="0"/>
          <w:szCs w:val="21"/>
        </w:rPr>
      </w:pPr>
      <w:r>
        <w:rPr>
          <w:rFonts w:hint="eastAsia" w:ascii="宋体" w:hAnsi="宋体" w:cs="宋体"/>
          <w:color w:val="auto"/>
          <w:kern w:val="0"/>
          <w:szCs w:val="21"/>
        </w:rPr>
        <w:t>合同条款；</w:t>
      </w:r>
    </w:p>
    <w:p>
      <w:pPr>
        <w:pStyle w:val="281"/>
        <w:numPr>
          <w:ilvl w:val="0"/>
          <w:numId w:val="5"/>
        </w:numPr>
        <w:autoSpaceDE w:val="0"/>
        <w:autoSpaceDN w:val="0"/>
        <w:adjustRightInd w:val="0"/>
        <w:snapToGrid w:val="0"/>
        <w:spacing w:after="156" w:afterLines="50" w:line="400" w:lineRule="exact"/>
        <w:ind w:hanging="1499" w:firstLineChars="0"/>
        <w:rPr>
          <w:rFonts w:ascii="宋体" w:hAnsi="宋体" w:cs="宋体"/>
          <w:color w:val="auto"/>
          <w:kern w:val="0"/>
          <w:szCs w:val="21"/>
        </w:rPr>
      </w:pPr>
      <w:r>
        <w:rPr>
          <w:rFonts w:hint="eastAsia" w:ascii="宋体" w:hAnsi="宋体" w:cs="宋体"/>
          <w:color w:val="auto"/>
          <w:kern w:val="0"/>
          <w:szCs w:val="21"/>
        </w:rPr>
        <w:t>采购需求</w:t>
      </w:r>
    </w:p>
    <w:p>
      <w:pPr>
        <w:pStyle w:val="281"/>
        <w:numPr>
          <w:ilvl w:val="0"/>
          <w:numId w:val="5"/>
        </w:numPr>
        <w:autoSpaceDE w:val="0"/>
        <w:autoSpaceDN w:val="0"/>
        <w:adjustRightInd w:val="0"/>
        <w:snapToGrid w:val="0"/>
        <w:spacing w:after="156" w:afterLines="50" w:line="400" w:lineRule="exact"/>
        <w:ind w:hanging="1499" w:firstLineChars="0"/>
        <w:rPr>
          <w:rFonts w:ascii="宋体" w:hAnsi="宋体" w:cs="宋体"/>
          <w:color w:val="auto"/>
          <w:kern w:val="0"/>
          <w:szCs w:val="21"/>
        </w:rPr>
      </w:pPr>
      <w:r>
        <w:rPr>
          <w:rFonts w:hint="eastAsia" w:ascii="宋体" w:hAnsi="宋体" w:cs="宋体"/>
          <w:color w:val="auto"/>
          <w:kern w:val="0"/>
          <w:szCs w:val="21"/>
        </w:rPr>
        <w:t>响应文件格式。</w:t>
      </w:r>
    </w:p>
    <w:p>
      <w:pPr>
        <w:autoSpaceDE w:val="0"/>
        <w:autoSpaceDN w:val="0"/>
        <w:adjustRightInd w:val="0"/>
        <w:snapToGrid w:val="0"/>
        <w:spacing w:after="156" w:afterLines="50" w:line="400" w:lineRule="exact"/>
        <w:ind w:left="218" w:leftChars="104"/>
        <w:rPr>
          <w:rFonts w:ascii="宋体" w:hAnsi="宋体" w:cs="宋体"/>
          <w:color w:val="auto"/>
          <w:kern w:val="0"/>
          <w:szCs w:val="21"/>
        </w:rPr>
      </w:pPr>
      <w:r>
        <w:rPr>
          <w:rFonts w:hint="eastAsia" w:ascii="宋体" w:hAnsi="宋体" w:cs="宋体"/>
          <w:color w:val="auto"/>
          <w:kern w:val="0"/>
          <w:szCs w:val="21"/>
        </w:rPr>
        <w:t>根据本章第</w:t>
      </w:r>
      <w:r>
        <w:rPr>
          <w:rFonts w:hint="eastAsia" w:ascii="宋体" w:hAnsi="宋体" w:cs="宋体"/>
          <w:color w:val="auto"/>
        </w:rPr>
        <w:fldChar w:fldCharType="begin"/>
      </w:r>
      <w:r>
        <w:rPr>
          <w:rFonts w:hint="eastAsia" w:ascii="宋体" w:hAnsi="宋体" w:cs="宋体"/>
          <w:color w:val="auto"/>
        </w:rPr>
        <w:instrText xml:space="preserve"> REF _Ref527655465 \r \h  \* MERGEFORMAT </w:instrText>
      </w:r>
      <w:r>
        <w:rPr>
          <w:rFonts w:hint="eastAsia" w:ascii="宋体" w:hAnsi="宋体" w:cs="宋体"/>
          <w:color w:val="auto"/>
        </w:rPr>
        <w:fldChar w:fldCharType="separate"/>
      </w:r>
      <w:r>
        <w:rPr>
          <w:rFonts w:hint="eastAsia" w:ascii="宋体" w:hAnsi="宋体" w:cs="宋体"/>
          <w:color w:val="auto"/>
          <w:kern w:val="0"/>
          <w:szCs w:val="21"/>
        </w:rPr>
        <w:t>2.2</w:t>
      </w:r>
      <w:r>
        <w:rPr>
          <w:rFonts w:hint="eastAsia" w:ascii="宋体" w:hAnsi="宋体" w:cs="宋体"/>
          <w:color w:val="auto"/>
        </w:rPr>
        <w:fldChar w:fldCharType="end"/>
      </w:r>
      <w:r>
        <w:rPr>
          <w:rFonts w:hint="eastAsia" w:ascii="宋体" w:hAnsi="宋体" w:cs="宋体"/>
          <w:color w:val="auto"/>
          <w:kern w:val="0"/>
          <w:szCs w:val="21"/>
        </w:rPr>
        <w:t>款对磋商文件所作的澄清、修改，构成磋商文件的组成部分。</w:t>
      </w:r>
    </w:p>
    <w:p>
      <w:pPr>
        <w:numPr>
          <w:ilvl w:val="1"/>
          <w:numId w:val="2"/>
        </w:numPr>
        <w:tabs>
          <w:tab w:val="left" w:pos="1134"/>
        </w:tabs>
        <w:autoSpaceDE w:val="0"/>
        <w:autoSpaceDN w:val="0"/>
        <w:adjustRightInd w:val="0"/>
        <w:snapToGrid w:val="0"/>
        <w:spacing w:after="156" w:afterLines="50" w:line="400" w:lineRule="exact"/>
        <w:rPr>
          <w:rFonts w:ascii="宋体" w:hAnsi="宋体" w:cs="宋体"/>
          <w:color w:val="auto"/>
          <w:kern w:val="0"/>
          <w:szCs w:val="21"/>
        </w:rPr>
      </w:pPr>
      <w:bookmarkStart w:id="88" w:name="_Ref426441946"/>
      <w:bookmarkStart w:id="89" w:name="_Toc195921809"/>
      <w:bookmarkStart w:id="90" w:name="_Ref527655465"/>
      <w:r>
        <w:rPr>
          <w:rFonts w:hint="eastAsia" w:ascii="宋体" w:hAnsi="宋体" w:cs="宋体"/>
          <w:color w:val="auto"/>
          <w:kern w:val="0"/>
          <w:szCs w:val="21"/>
        </w:rPr>
        <w:t>磋商文件的澄清</w:t>
      </w:r>
      <w:bookmarkEnd w:id="88"/>
      <w:bookmarkEnd w:id="89"/>
      <w:r>
        <w:rPr>
          <w:rFonts w:hint="eastAsia" w:ascii="宋体" w:hAnsi="宋体" w:cs="宋体"/>
          <w:color w:val="auto"/>
          <w:kern w:val="0"/>
          <w:szCs w:val="21"/>
        </w:rPr>
        <w:t>或修改</w:t>
      </w:r>
      <w:bookmarkEnd w:id="90"/>
    </w:p>
    <w:p>
      <w:pPr>
        <w:numPr>
          <w:ilvl w:val="2"/>
          <w:numId w:val="2"/>
        </w:numPr>
        <w:tabs>
          <w:tab w:val="left" w:pos="1260"/>
        </w:tabs>
        <w:autoSpaceDE w:val="0"/>
        <w:autoSpaceDN w:val="0"/>
        <w:adjustRightInd w:val="0"/>
        <w:snapToGrid w:val="0"/>
        <w:spacing w:after="156" w:afterLines="50" w:line="400" w:lineRule="exact"/>
        <w:ind w:left="14" w:hanging="14"/>
        <w:rPr>
          <w:rFonts w:ascii="宋体" w:hAnsi="宋体" w:cs="宋体"/>
          <w:color w:val="auto"/>
          <w:kern w:val="0"/>
          <w:szCs w:val="21"/>
        </w:rPr>
      </w:pPr>
      <w:r>
        <w:rPr>
          <w:rFonts w:hint="eastAsia" w:ascii="宋体" w:hAnsi="宋体" w:cs="宋体"/>
          <w:color w:val="auto"/>
          <w:kern w:val="0"/>
          <w:szCs w:val="21"/>
        </w:rPr>
        <w:t>供应商应仔细阅读和检查磋商文件的全部内容。如发现缺页或附件不全，应及时向采购人提出，以便补齐。</w:t>
      </w:r>
    </w:p>
    <w:p>
      <w:pPr>
        <w:numPr>
          <w:ilvl w:val="2"/>
          <w:numId w:val="2"/>
        </w:numPr>
        <w:tabs>
          <w:tab w:val="left" w:pos="1260"/>
        </w:tabs>
        <w:autoSpaceDE w:val="0"/>
        <w:autoSpaceDN w:val="0"/>
        <w:adjustRightInd w:val="0"/>
        <w:snapToGrid w:val="0"/>
        <w:spacing w:after="156" w:afterLines="50" w:line="400" w:lineRule="exact"/>
        <w:ind w:left="14" w:hanging="14"/>
        <w:rPr>
          <w:rFonts w:ascii="宋体" w:hAnsi="宋体" w:cs="宋体"/>
          <w:color w:val="auto"/>
          <w:szCs w:val="21"/>
        </w:rPr>
      </w:pPr>
      <w:bookmarkStart w:id="91" w:name="_Ref527101604"/>
      <w:r>
        <w:rPr>
          <w:rFonts w:hint="eastAsia" w:ascii="宋体" w:hAnsi="宋体" w:cs="宋体"/>
          <w:color w:val="auto"/>
          <w:szCs w:val="21"/>
        </w:rPr>
        <w:t>供应商</w:t>
      </w:r>
      <w:r>
        <w:rPr>
          <w:rFonts w:hint="eastAsia" w:ascii="宋体" w:hAnsi="宋体" w:cs="宋体"/>
          <w:color w:val="auto"/>
          <w:kern w:val="0"/>
          <w:szCs w:val="21"/>
        </w:rPr>
        <w:t>如有疑问</w:t>
      </w:r>
      <w:r>
        <w:rPr>
          <w:rFonts w:hint="eastAsia" w:ascii="宋体" w:hAnsi="宋体" w:cs="宋体"/>
          <w:color w:val="auto"/>
          <w:szCs w:val="21"/>
        </w:rPr>
        <w:t>可以在供应商须知前附表规定的时间内向采购人提出询问</w:t>
      </w:r>
      <w:r>
        <w:rPr>
          <w:rFonts w:hint="eastAsia" w:ascii="宋体" w:hAnsi="宋体" w:cs="宋体"/>
          <w:color w:val="auto"/>
          <w:kern w:val="0"/>
          <w:szCs w:val="21"/>
        </w:rPr>
        <w:t>，要求采购人对磋商文件予以澄清。</w:t>
      </w:r>
      <w:bookmarkEnd w:id="91"/>
    </w:p>
    <w:p>
      <w:pPr>
        <w:numPr>
          <w:ilvl w:val="2"/>
          <w:numId w:val="2"/>
        </w:numPr>
        <w:tabs>
          <w:tab w:val="left" w:pos="1260"/>
        </w:tabs>
        <w:autoSpaceDE w:val="0"/>
        <w:autoSpaceDN w:val="0"/>
        <w:adjustRightInd w:val="0"/>
        <w:snapToGrid w:val="0"/>
        <w:spacing w:after="156" w:afterLines="50" w:line="400" w:lineRule="exact"/>
        <w:ind w:left="14" w:hanging="14"/>
        <w:rPr>
          <w:rFonts w:ascii="宋体" w:hAnsi="宋体" w:cs="宋体"/>
          <w:color w:val="auto"/>
          <w:szCs w:val="21"/>
        </w:rPr>
      </w:pPr>
      <w:r>
        <w:rPr>
          <w:rFonts w:hint="eastAsia" w:ascii="宋体" w:hAnsi="宋体" w:cs="宋体"/>
          <w:color w:val="auto"/>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5日前，以书面形式通知所有接收磋商文件的供应商，不足5日的，应当顺延提交首次响应文件截止之日。</w:t>
      </w:r>
    </w:p>
    <w:p>
      <w:pPr>
        <w:autoSpaceDE w:val="0"/>
        <w:autoSpaceDN w:val="0"/>
        <w:adjustRightInd w:val="0"/>
        <w:snapToGrid w:val="0"/>
        <w:spacing w:after="156" w:afterLines="50" w:line="400" w:lineRule="exact"/>
        <w:ind w:firstLine="420" w:firstLineChars="200"/>
        <w:rPr>
          <w:rFonts w:ascii="宋体" w:hAnsi="宋体" w:cs="宋体"/>
          <w:color w:val="auto"/>
          <w:szCs w:val="21"/>
        </w:rPr>
      </w:pPr>
      <w:r>
        <w:rPr>
          <w:rFonts w:hint="eastAsia" w:ascii="宋体" w:hAnsi="宋体" w:cs="宋体"/>
          <w:color w:val="auto"/>
          <w:kern w:val="0"/>
          <w:szCs w:val="21"/>
        </w:rPr>
        <w:t>通过发布公告邀请供应商参加磋商的，澄清修改和更正内容将在磋商公告发布媒体上予以公告。</w:t>
      </w:r>
    </w:p>
    <w:p>
      <w:pPr>
        <w:numPr>
          <w:ilvl w:val="2"/>
          <w:numId w:val="2"/>
        </w:numPr>
        <w:tabs>
          <w:tab w:val="left" w:pos="1260"/>
        </w:tabs>
        <w:autoSpaceDE w:val="0"/>
        <w:autoSpaceDN w:val="0"/>
        <w:adjustRightInd w:val="0"/>
        <w:snapToGrid w:val="0"/>
        <w:spacing w:after="156" w:afterLines="50" w:line="400" w:lineRule="exact"/>
        <w:ind w:left="14" w:hanging="14"/>
        <w:rPr>
          <w:rFonts w:ascii="宋体" w:hAnsi="宋体" w:cs="宋体"/>
          <w:color w:val="auto"/>
          <w:kern w:val="0"/>
          <w:szCs w:val="21"/>
        </w:rPr>
      </w:pPr>
      <w:bookmarkStart w:id="92" w:name="_Ref527292721"/>
      <w:r>
        <w:rPr>
          <w:rFonts w:hint="eastAsia" w:ascii="宋体" w:hAnsi="宋体" w:cs="宋体"/>
          <w:color w:val="auto"/>
          <w:kern w:val="0"/>
          <w:szCs w:val="21"/>
        </w:rPr>
        <w:t>供应商应在收到澄清或修改文件后</w:t>
      </w:r>
      <w:r>
        <w:rPr>
          <w:rFonts w:hint="eastAsia" w:ascii="宋体" w:hAnsi="宋体" w:cs="宋体"/>
          <w:color w:val="auto"/>
          <w:szCs w:val="21"/>
        </w:rPr>
        <w:t>24小时内或根据澄清通知中要求的时间内</w:t>
      </w:r>
      <w:r>
        <w:rPr>
          <w:rFonts w:hint="eastAsia" w:ascii="宋体" w:hAnsi="宋体" w:cs="宋体"/>
          <w:color w:val="auto"/>
          <w:kern w:val="0"/>
          <w:szCs w:val="21"/>
        </w:rPr>
        <w:t>，将加盖公章的回执书面形式通知采购人</w:t>
      </w:r>
      <w:r>
        <w:rPr>
          <w:rFonts w:hint="eastAsia" w:ascii="宋体" w:hAnsi="宋体" w:cs="宋体"/>
          <w:color w:val="auto"/>
          <w:szCs w:val="21"/>
        </w:rPr>
        <w:t>、采购代理机构或磋商小组</w:t>
      </w:r>
      <w:r>
        <w:rPr>
          <w:rFonts w:hint="eastAsia" w:ascii="宋体" w:hAnsi="宋体" w:cs="宋体"/>
          <w:color w:val="auto"/>
          <w:kern w:val="0"/>
          <w:szCs w:val="21"/>
        </w:rPr>
        <w:t>，确认已收到该澄清。否则，视为同意和接受该澄清或者修改内容。</w:t>
      </w:r>
      <w:bookmarkEnd w:id="92"/>
    </w:p>
    <w:p>
      <w:pPr>
        <w:numPr>
          <w:ilvl w:val="1"/>
          <w:numId w:val="2"/>
        </w:numPr>
        <w:tabs>
          <w:tab w:val="left" w:pos="1260"/>
        </w:tabs>
        <w:autoSpaceDE w:val="0"/>
        <w:autoSpaceDN w:val="0"/>
        <w:adjustRightInd w:val="0"/>
        <w:snapToGrid w:val="0"/>
        <w:spacing w:after="156" w:afterLines="50" w:line="400" w:lineRule="exact"/>
        <w:ind w:left="14" w:hanging="14"/>
        <w:rPr>
          <w:rFonts w:ascii="宋体" w:hAnsi="宋体" w:cs="宋体"/>
          <w:color w:val="auto"/>
          <w:kern w:val="0"/>
          <w:szCs w:val="21"/>
        </w:rPr>
      </w:pPr>
      <w:bookmarkStart w:id="93" w:name="_Ref527101721"/>
      <w:r>
        <w:rPr>
          <w:rFonts w:hint="eastAsia" w:ascii="宋体" w:hAnsi="宋体" w:cs="宋体"/>
          <w:color w:val="auto"/>
          <w:szCs w:val="21"/>
        </w:rPr>
        <w:t>供应商对磋商文件提出质疑的，应当在获取磋商文件或者磋商文件公告期限届满之日起7个工作日内，按供应商须知前附表中送达质疑函的方式以书面形式一次性提出质疑。供应商提出质疑应当提交质疑函和必要的证明材料，质疑函的内容应符合政府采购质疑和投诉办法的规定。</w:t>
      </w:r>
      <w:bookmarkEnd w:id="93"/>
    </w:p>
    <w:p>
      <w:pPr>
        <w:numPr>
          <w:ilvl w:val="0"/>
          <w:numId w:val="2"/>
        </w:numPr>
        <w:tabs>
          <w:tab w:val="left" w:pos="1134"/>
        </w:tabs>
        <w:autoSpaceDE w:val="0"/>
        <w:autoSpaceDN w:val="0"/>
        <w:adjustRightInd w:val="0"/>
        <w:spacing w:after="156" w:afterLines="50" w:line="400" w:lineRule="exact"/>
        <w:outlineLvl w:val="2"/>
        <w:rPr>
          <w:rFonts w:ascii="宋体" w:hAnsi="宋体" w:cs="宋体"/>
          <w:color w:val="auto"/>
          <w:kern w:val="0"/>
          <w:szCs w:val="21"/>
        </w:rPr>
      </w:pPr>
      <w:bookmarkStart w:id="94" w:name="_Toc3220170"/>
      <w:bookmarkStart w:id="95" w:name="_Toc4433561"/>
      <w:r>
        <w:rPr>
          <w:rFonts w:hint="eastAsia" w:ascii="宋体" w:hAnsi="宋体" w:cs="宋体"/>
          <w:color w:val="auto"/>
          <w:kern w:val="0"/>
          <w:szCs w:val="21"/>
        </w:rPr>
        <w:t>响应文件编制</w:t>
      </w:r>
      <w:bookmarkEnd w:id="94"/>
      <w:bookmarkEnd w:id="95"/>
    </w:p>
    <w:p>
      <w:pPr>
        <w:numPr>
          <w:ilvl w:val="1"/>
          <w:numId w:val="2"/>
        </w:numPr>
        <w:tabs>
          <w:tab w:val="left" w:pos="1134"/>
        </w:tabs>
        <w:autoSpaceDE w:val="0"/>
        <w:autoSpaceDN w:val="0"/>
        <w:adjustRightInd w:val="0"/>
        <w:snapToGrid w:val="0"/>
        <w:spacing w:after="156" w:afterLines="50" w:line="400" w:lineRule="exact"/>
        <w:rPr>
          <w:rFonts w:ascii="宋体" w:hAnsi="宋体" w:cs="宋体"/>
          <w:color w:val="auto"/>
          <w:kern w:val="0"/>
          <w:szCs w:val="21"/>
        </w:rPr>
      </w:pPr>
      <w:bookmarkStart w:id="96" w:name="_Toc195921812"/>
      <w:r>
        <w:rPr>
          <w:rFonts w:hint="eastAsia" w:ascii="宋体" w:hAnsi="宋体" w:cs="宋体"/>
          <w:color w:val="auto"/>
          <w:kern w:val="0"/>
          <w:szCs w:val="21"/>
        </w:rPr>
        <w:t>响应文件的组成</w:t>
      </w:r>
      <w:bookmarkEnd w:id="96"/>
    </w:p>
    <w:p>
      <w:pPr>
        <w:numPr>
          <w:ilvl w:val="2"/>
          <w:numId w:val="2"/>
        </w:numPr>
        <w:tabs>
          <w:tab w:val="left" w:pos="1134"/>
          <w:tab w:val="left" w:pos="1260"/>
        </w:tabs>
        <w:autoSpaceDE w:val="0"/>
        <w:autoSpaceDN w:val="0"/>
        <w:adjustRightInd w:val="0"/>
        <w:snapToGrid w:val="0"/>
        <w:spacing w:after="156" w:afterLines="50" w:line="400" w:lineRule="exact"/>
        <w:rPr>
          <w:rFonts w:ascii="宋体" w:hAnsi="宋体" w:cs="宋体"/>
          <w:color w:val="auto"/>
          <w:kern w:val="0"/>
          <w:szCs w:val="21"/>
        </w:rPr>
      </w:pPr>
      <w:r>
        <w:rPr>
          <w:rFonts w:hint="eastAsia" w:ascii="宋体" w:hAnsi="宋体" w:cs="宋体"/>
          <w:color w:val="auto"/>
          <w:kern w:val="0"/>
          <w:szCs w:val="21"/>
        </w:rPr>
        <w:t>响应文件应包括下列内容：</w:t>
      </w:r>
    </w:p>
    <w:p>
      <w:pPr>
        <w:numPr>
          <w:ilvl w:val="0"/>
          <w:numId w:val="6"/>
        </w:numPr>
        <w:autoSpaceDE w:val="0"/>
        <w:autoSpaceDN w:val="0"/>
        <w:adjustRightInd w:val="0"/>
        <w:snapToGrid w:val="0"/>
        <w:spacing w:after="156" w:afterLines="50" w:line="400" w:lineRule="exact"/>
        <w:ind w:left="0" w:firstLine="0"/>
        <w:rPr>
          <w:rFonts w:ascii="宋体" w:hAnsi="宋体" w:cs="宋体"/>
          <w:color w:val="auto"/>
          <w:kern w:val="0"/>
          <w:szCs w:val="21"/>
        </w:rPr>
      </w:pPr>
      <w:r>
        <w:rPr>
          <w:rFonts w:hint="eastAsia" w:ascii="宋体" w:hAnsi="宋体" w:cs="宋体"/>
          <w:color w:val="auto"/>
          <w:kern w:val="0"/>
          <w:szCs w:val="21"/>
        </w:rPr>
        <w:t>报价函及其附录；</w:t>
      </w:r>
    </w:p>
    <w:p>
      <w:pPr>
        <w:numPr>
          <w:ilvl w:val="0"/>
          <w:numId w:val="6"/>
        </w:numPr>
        <w:autoSpaceDE w:val="0"/>
        <w:autoSpaceDN w:val="0"/>
        <w:adjustRightInd w:val="0"/>
        <w:snapToGrid w:val="0"/>
        <w:spacing w:after="156" w:afterLines="50" w:line="400" w:lineRule="exact"/>
        <w:ind w:left="420"/>
        <w:rPr>
          <w:rFonts w:ascii="宋体" w:hAnsi="宋体" w:cs="宋体"/>
          <w:color w:val="auto"/>
          <w:kern w:val="0"/>
          <w:szCs w:val="21"/>
        </w:rPr>
      </w:pPr>
      <w:r>
        <w:rPr>
          <w:rFonts w:hint="eastAsia" w:ascii="宋体" w:hAnsi="宋体" w:cs="宋体"/>
          <w:color w:val="auto"/>
          <w:kern w:val="0"/>
          <w:szCs w:val="21"/>
        </w:rPr>
        <w:t>法定代表人身份证明；</w:t>
      </w:r>
    </w:p>
    <w:p>
      <w:pPr>
        <w:numPr>
          <w:ilvl w:val="0"/>
          <w:numId w:val="6"/>
        </w:numPr>
        <w:autoSpaceDE w:val="0"/>
        <w:autoSpaceDN w:val="0"/>
        <w:adjustRightInd w:val="0"/>
        <w:snapToGrid w:val="0"/>
        <w:spacing w:after="156" w:afterLines="50" w:line="400" w:lineRule="exact"/>
        <w:ind w:left="420"/>
        <w:rPr>
          <w:rFonts w:ascii="宋体" w:hAnsi="宋体" w:cs="宋体"/>
          <w:color w:val="auto"/>
          <w:kern w:val="0"/>
          <w:szCs w:val="21"/>
        </w:rPr>
      </w:pPr>
      <w:r>
        <w:rPr>
          <w:rFonts w:hint="eastAsia" w:ascii="宋体" w:hAnsi="宋体" w:cs="宋体"/>
          <w:color w:val="auto"/>
          <w:kern w:val="0"/>
          <w:szCs w:val="21"/>
        </w:rPr>
        <w:t>授权委托书；</w:t>
      </w:r>
    </w:p>
    <w:p>
      <w:pPr>
        <w:numPr>
          <w:ilvl w:val="0"/>
          <w:numId w:val="6"/>
        </w:numPr>
        <w:autoSpaceDE w:val="0"/>
        <w:autoSpaceDN w:val="0"/>
        <w:adjustRightInd w:val="0"/>
        <w:snapToGrid w:val="0"/>
        <w:spacing w:after="156" w:afterLines="50" w:line="400" w:lineRule="exact"/>
        <w:ind w:left="420"/>
        <w:rPr>
          <w:rFonts w:ascii="宋体" w:hAnsi="宋体" w:cs="宋体"/>
          <w:color w:val="auto"/>
          <w:kern w:val="0"/>
          <w:szCs w:val="21"/>
        </w:rPr>
      </w:pPr>
      <w:r>
        <w:rPr>
          <w:rFonts w:hint="eastAsia" w:ascii="宋体" w:hAnsi="宋体" w:cs="宋体"/>
          <w:color w:val="auto"/>
          <w:kern w:val="0"/>
          <w:szCs w:val="21"/>
        </w:rPr>
        <w:t>磋商保证金；</w:t>
      </w:r>
    </w:p>
    <w:p>
      <w:pPr>
        <w:numPr>
          <w:ilvl w:val="0"/>
          <w:numId w:val="6"/>
        </w:numPr>
        <w:autoSpaceDE w:val="0"/>
        <w:autoSpaceDN w:val="0"/>
        <w:adjustRightInd w:val="0"/>
        <w:snapToGrid w:val="0"/>
        <w:spacing w:after="156" w:afterLines="50" w:line="400" w:lineRule="exact"/>
        <w:ind w:left="420"/>
        <w:rPr>
          <w:rFonts w:ascii="宋体" w:hAnsi="宋体" w:cs="宋体"/>
          <w:color w:val="auto"/>
          <w:kern w:val="0"/>
          <w:szCs w:val="21"/>
        </w:rPr>
      </w:pPr>
      <w:r>
        <w:rPr>
          <w:rFonts w:hint="eastAsia" w:ascii="宋体" w:hAnsi="宋体" w:cs="宋体"/>
          <w:color w:val="auto"/>
          <w:kern w:val="0"/>
          <w:szCs w:val="21"/>
        </w:rPr>
        <w:t>分项报价表；</w:t>
      </w:r>
    </w:p>
    <w:p>
      <w:pPr>
        <w:numPr>
          <w:ilvl w:val="0"/>
          <w:numId w:val="6"/>
        </w:numPr>
        <w:autoSpaceDE w:val="0"/>
        <w:autoSpaceDN w:val="0"/>
        <w:adjustRightInd w:val="0"/>
        <w:snapToGrid w:val="0"/>
        <w:spacing w:after="156" w:afterLines="50" w:line="400" w:lineRule="exact"/>
        <w:ind w:left="420"/>
        <w:rPr>
          <w:rFonts w:ascii="宋体" w:hAnsi="宋体" w:cs="宋体"/>
          <w:color w:val="auto"/>
          <w:kern w:val="0"/>
          <w:szCs w:val="21"/>
        </w:rPr>
      </w:pPr>
      <w:r>
        <w:rPr>
          <w:rFonts w:hint="eastAsia" w:ascii="宋体" w:hAnsi="宋体" w:cs="宋体"/>
          <w:color w:val="auto"/>
          <w:kern w:val="0"/>
          <w:szCs w:val="21"/>
        </w:rPr>
        <w:t>商务、合同条款偏差表；</w:t>
      </w:r>
    </w:p>
    <w:p>
      <w:pPr>
        <w:numPr>
          <w:ilvl w:val="0"/>
          <w:numId w:val="6"/>
        </w:numPr>
        <w:autoSpaceDE w:val="0"/>
        <w:autoSpaceDN w:val="0"/>
        <w:adjustRightInd w:val="0"/>
        <w:snapToGrid w:val="0"/>
        <w:spacing w:after="156" w:afterLines="50" w:line="400" w:lineRule="exact"/>
        <w:ind w:left="420"/>
        <w:rPr>
          <w:rFonts w:ascii="宋体" w:hAnsi="宋体" w:cs="宋体"/>
          <w:color w:val="auto"/>
          <w:kern w:val="0"/>
          <w:szCs w:val="21"/>
        </w:rPr>
      </w:pPr>
      <w:r>
        <w:rPr>
          <w:rFonts w:hint="eastAsia" w:ascii="宋体" w:hAnsi="宋体" w:cs="宋体"/>
          <w:color w:val="auto"/>
          <w:kern w:val="0"/>
          <w:szCs w:val="21"/>
        </w:rPr>
        <w:t>供应商基本情况表</w:t>
      </w:r>
    </w:p>
    <w:p>
      <w:pPr>
        <w:numPr>
          <w:ilvl w:val="0"/>
          <w:numId w:val="6"/>
        </w:numPr>
        <w:autoSpaceDE w:val="0"/>
        <w:autoSpaceDN w:val="0"/>
        <w:adjustRightInd w:val="0"/>
        <w:snapToGrid w:val="0"/>
        <w:spacing w:after="156" w:afterLines="50" w:line="400" w:lineRule="exact"/>
        <w:ind w:left="420"/>
        <w:rPr>
          <w:rFonts w:ascii="宋体" w:hAnsi="宋体" w:cs="宋体"/>
          <w:color w:val="auto"/>
          <w:kern w:val="0"/>
          <w:szCs w:val="21"/>
        </w:rPr>
      </w:pPr>
      <w:r>
        <w:rPr>
          <w:rFonts w:hint="eastAsia" w:ascii="宋体" w:hAnsi="宋体" w:cs="宋体"/>
          <w:color w:val="auto"/>
          <w:kern w:val="0"/>
          <w:szCs w:val="21"/>
        </w:rPr>
        <w:t>资格证明文件（详见响应文件格式要求）；</w:t>
      </w:r>
    </w:p>
    <w:p>
      <w:pPr>
        <w:numPr>
          <w:ilvl w:val="0"/>
          <w:numId w:val="6"/>
        </w:numPr>
        <w:autoSpaceDE w:val="0"/>
        <w:autoSpaceDN w:val="0"/>
        <w:adjustRightInd w:val="0"/>
        <w:snapToGrid w:val="0"/>
        <w:spacing w:after="156" w:afterLines="50" w:line="400" w:lineRule="exact"/>
        <w:ind w:left="420"/>
        <w:rPr>
          <w:rFonts w:ascii="宋体" w:hAnsi="宋体" w:cs="宋体"/>
          <w:color w:val="auto"/>
          <w:kern w:val="0"/>
          <w:szCs w:val="21"/>
        </w:rPr>
      </w:pPr>
      <w:r>
        <w:rPr>
          <w:rFonts w:hint="eastAsia" w:ascii="宋体" w:hAnsi="宋体" w:cs="宋体"/>
          <w:color w:val="auto"/>
          <w:kern w:val="0"/>
          <w:szCs w:val="21"/>
        </w:rPr>
        <w:t>供应商供货业绩一览表（服务业绩一览表）</w:t>
      </w:r>
    </w:p>
    <w:p>
      <w:pPr>
        <w:numPr>
          <w:ilvl w:val="0"/>
          <w:numId w:val="6"/>
        </w:numPr>
        <w:autoSpaceDE w:val="0"/>
        <w:autoSpaceDN w:val="0"/>
        <w:adjustRightInd w:val="0"/>
        <w:snapToGrid w:val="0"/>
        <w:spacing w:after="156" w:afterLines="50" w:line="400" w:lineRule="exact"/>
        <w:ind w:left="420"/>
        <w:rPr>
          <w:rFonts w:ascii="宋体" w:hAnsi="宋体" w:cs="宋体"/>
          <w:color w:val="auto"/>
          <w:kern w:val="0"/>
          <w:szCs w:val="21"/>
        </w:rPr>
      </w:pPr>
      <w:r>
        <w:rPr>
          <w:rFonts w:hint="eastAsia" w:ascii="宋体" w:hAnsi="宋体" w:cs="宋体"/>
          <w:color w:val="auto"/>
          <w:kern w:val="0"/>
          <w:szCs w:val="21"/>
        </w:rPr>
        <w:t>小微企业、监狱企业、残疾人福利单位的声明函或证明材料（如有）；</w:t>
      </w:r>
    </w:p>
    <w:p>
      <w:pPr>
        <w:numPr>
          <w:ilvl w:val="0"/>
          <w:numId w:val="6"/>
        </w:numPr>
        <w:autoSpaceDE w:val="0"/>
        <w:autoSpaceDN w:val="0"/>
        <w:adjustRightInd w:val="0"/>
        <w:snapToGrid w:val="0"/>
        <w:spacing w:after="156" w:afterLines="50" w:line="400" w:lineRule="exact"/>
        <w:ind w:left="420"/>
        <w:rPr>
          <w:rFonts w:ascii="宋体" w:hAnsi="宋体" w:cs="宋体"/>
          <w:color w:val="auto"/>
          <w:kern w:val="0"/>
          <w:szCs w:val="21"/>
        </w:rPr>
      </w:pPr>
      <w:r>
        <w:rPr>
          <w:rFonts w:hint="eastAsia" w:ascii="宋体" w:hAnsi="宋体" w:cs="宋体"/>
          <w:color w:val="auto"/>
          <w:kern w:val="0"/>
          <w:szCs w:val="21"/>
        </w:rPr>
        <w:t>响应承诺书；</w:t>
      </w:r>
    </w:p>
    <w:p>
      <w:pPr>
        <w:numPr>
          <w:ilvl w:val="0"/>
          <w:numId w:val="6"/>
        </w:numPr>
        <w:autoSpaceDE w:val="0"/>
        <w:autoSpaceDN w:val="0"/>
        <w:adjustRightInd w:val="0"/>
        <w:snapToGrid w:val="0"/>
        <w:spacing w:after="156" w:afterLines="50" w:line="400" w:lineRule="exact"/>
        <w:ind w:left="420"/>
        <w:rPr>
          <w:rFonts w:ascii="宋体" w:hAnsi="宋体" w:cs="宋体"/>
          <w:color w:val="auto"/>
          <w:kern w:val="0"/>
          <w:szCs w:val="21"/>
        </w:rPr>
      </w:pPr>
      <w:r>
        <w:rPr>
          <w:rFonts w:hint="eastAsia" w:ascii="宋体" w:hAnsi="宋体" w:cs="宋体"/>
          <w:color w:val="auto"/>
          <w:kern w:val="0"/>
          <w:szCs w:val="21"/>
        </w:rPr>
        <w:t>技术偏差表</w:t>
      </w:r>
    </w:p>
    <w:p>
      <w:pPr>
        <w:numPr>
          <w:ilvl w:val="0"/>
          <w:numId w:val="6"/>
        </w:numPr>
        <w:tabs>
          <w:tab w:val="left" w:pos="1680"/>
        </w:tabs>
        <w:autoSpaceDE w:val="0"/>
        <w:autoSpaceDN w:val="0"/>
        <w:adjustRightInd w:val="0"/>
        <w:snapToGrid w:val="0"/>
        <w:spacing w:after="156" w:afterLines="50" w:line="400" w:lineRule="exact"/>
        <w:ind w:left="420"/>
        <w:rPr>
          <w:rFonts w:ascii="宋体" w:hAnsi="宋体" w:cs="宋体"/>
          <w:color w:val="auto"/>
          <w:kern w:val="0"/>
          <w:szCs w:val="21"/>
        </w:rPr>
      </w:pPr>
      <w:r>
        <w:rPr>
          <w:rFonts w:hint="eastAsia" w:ascii="宋体" w:hAnsi="宋体" w:cs="宋体"/>
          <w:color w:val="auto"/>
          <w:kern w:val="0"/>
          <w:szCs w:val="21"/>
        </w:rPr>
        <w:t>对服务的技术规格、数量、服务标准、验收等要求的响应；</w:t>
      </w:r>
    </w:p>
    <w:p>
      <w:pPr>
        <w:numPr>
          <w:ilvl w:val="0"/>
          <w:numId w:val="6"/>
        </w:numPr>
        <w:autoSpaceDE w:val="0"/>
        <w:autoSpaceDN w:val="0"/>
        <w:adjustRightInd w:val="0"/>
        <w:snapToGrid w:val="0"/>
        <w:spacing w:after="156" w:afterLines="50" w:line="400" w:lineRule="exact"/>
        <w:ind w:left="420"/>
        <w:rPr>
          <w:rFonts w:ascii="宋体" w:hAnsi="宋体" w:cs="宋体"/>
          <w:color w:val="auto"/>
          <w:kern w:val="0"/>
          <w:szCs w:val="21"/>
        </w:rPr>
      </w:pPr>
      <w:r>
        <w:rPr>
          <w:rFonts w:hint="eastAsia" w:ascii="宋体" w:hAnsi="宋体" w:cs="宋体"/>
          <w:color w:val="auto"/>
          <w:kern w:val="0"/>
          <w:szCs w:val="21"/>
        </w:rPr>
        <w:t>拟派服务实施人员表和资历表；</w:t>
      </w:r>
    </w:p>
    <w:p>
      <w:pPr>
        <w:numPr>
          <w:ilvl w:val="0"/>
          <w:numId w:val="6"/>
        </w:numPr>
        <w:autoSpaceDE w:val="0"/>
        <w:autoSpaceDN w:val="0"/>
        <w:adjustRightInd w:val="0"/>
        <w:snapToGrid w:val="0"/>
        <w:spacing w:after="156" w:afterLines="50" w:line="400" w:lineRule="exact"/>
        <w:ind w:left="420"/>
        <w:rPr>
          <w:rFonts w:ascii="宋体" w:hAnsi="宋体" w:cs="宋体"/>
          <w:color w:val="auto"/>
          <w:kern w:val="0"/>
          <w:szCs w:val="21"/>
        </w:rPr>
      </w:pPr>
      <w:r>
        <w:rPr>
          <w:rFonts w:hint="eastAsia" w:ascii="宋体" w:hAnsi="宋体" w:cs="宋体"/>
          <w:color w:val="auto"/>
          <w:kern w:val="0"/>
          <w:szCs w:val="21"/>
        </w:rPr>
        <w:t>售后服务支持能力</w:t>
      </w:r>
    </w:p>
    <w:p>
      <w:pPr>
        <w:numPr>
          <w:ilvl w:val="0"/>
          <w:numId w:val="6"/>
        </w:numPr>
        <w:autoSpaceDE w:val="0"/>
        <w:autoSpaceDN w:val="0"/>
        <w:adjustRightInd w:val="0"/>
        <w:snapToGrid w:val="0"/>
        <w:spacing w:after="156" w:afterLines="50" w:line="400" w:lineRule="exact"/>
        <w:ind w:left="420"/>
        <w:rPr>
          <w:rFonts w:ascii="宋体" w:hAnsi="宋体" w:cs="宋体"/>
          <w:color w:val="auto"/>
          <w:kern w:val="0"/>
          <w:szCs w:val="21"/>
        </w:rPr>
      </w:pPr>
      <w:r>
        <w:rPr>
          <w:rFonts w:hint="eastAsia" w:ascii="宋体" w:hAnsi="宋体" w:cs="宋体"/>
          <w:color w:val="auto"/>
          <w:kern w:val="0"/>
          <w:szCs w:val="21"/>
        </w:rPr>
        <w:t>供应商其他承诺（如有）；</w:t>
      </w:r>
    </w:p>
    <w:p>
      <w:pPr>
        <w:numPr>
          <w:ilvl w:val="0"/>
          <w:numId w:val="6"/>
        </w:numPr>
        <w:autoSpaceDE w:val="0"/>
        <w:autoSpaceDN w:val="0"/>
        <w:adjustRightInd w:val="0"/>
        <w:snapToGrid w:val="0"/>
        <w:spacing w:after="156" w:afterLines="50" w:line="400" w:lineRule="exact"/>
        <w:ind w:left="420"/>
        <w:rPr>
          <w:rFonts w:ascii="宋体" w:hAnsi="宋体" w:cs="宋体"/>
          <w:color w:val="auto"/>
          <w:kern w:val="0"/>
          <w:szCs w:val="21"/>
        </w:rPr>
      </w:pPr>
      <w:r>
        <w:rPr>
          <w:rFonts w:hint="eastAsia" w:ascii="宋体" w:hAnsi="宋体" w:cs="宋体"/>
          <w:color w:val="auto"/>
          <w:kern w:val="0"/>
          <w:szCs w:val="21"/>
        </w:rPr>
        <w:t>最后报价函（磋商结束后，根据磋商小组要求提交）；</w:t>
      </w:r>
    </w:p>
    <w:p>
      <w:pPr>
        <w:numPr>
          <w:ilvl w:val="0"/>
          <w:numId w:val="6"/>
        </w:numPr>
        <w:autoSpaceDE w:val="0"/>
        <w:autoSpaceDN w:val="0"/>
        <w:adjustRightInd w:val="0"/>
        <w:snapToGrid w:val="0"/>
        <w:spacing w:after="156" w:afterLines="50" w:line="400" w:lineRule="exact"/>
        <w:ind w:left="420"/>
        <w:rPr>
          <w:rFonts w:ascii="宋体" w:hAnsi="宋体" w:cs="宋体"/>
          <w:color w:val="auto"/>
          <w:kern w:val="0"/>
          <w:szCs w:val="21"/>
        </w:rPr>
      </w:pPr>
      <w:r>
        <w:rPr>
          <w:rFonts w:hint="eastAsia" w:ascii="宋体" w:hAnsi="宋体" w:cs="宋体"/>
          <w:color w:val="auto"/>
          <w:kern w:val="0"/>
          <w:szCs w:val="21"/>
        </w:rPr>
        <w:t>磋商文件要求的其他内容以及供应商认为必要的其他内容。</w:t>
      </w:r>
    </w:p>
    <w:p>
      <w:pPr>
        <w:numPr>
          <w:ilvl w:val="1"/>
          <w:numId w:val="2"/>
        </w:numPr>
        <w:tabs>
          <w:tab w:val="left" w:pos="1134"/>
        </w:tabs>
        <w:autoSpaceDE w:val="0"/>
        <w:autoSpaceDN w:val="0"/>
        <w:adjustRightInd w:val="0"/>
        <w:snapToGrid w:val="0"/>
        <w:spacing w:after="156" w:afterLines="50" w:line="400" w:lineRule="exact"/>
        <w:rPr>
          <w:rFonts w:ascii="宋体" w:hAnsi="宋体" w:cs="宋体"/>
          <w:color w:val="auto"/>
          <w:kern w:val="0"/>
          <w:szCs w:val="21"/>
        </w:rPr>
      </w:pPr>
      <w:bookmarkStart w:id="97" w:name="_Toc195921813"/>
      <w:r>
        <w:rPr>
          <w:rFonts w:hint="eastAsia" w:ascii="宋体" w:hAnsi="宋体" w:cs="宋体"/>
          <w:color w:val="auto"/>
          <w:kern w:val="0"/>
          <w:szCs w:val="21"/>
        </w:rPr>
        <w:t>首次报价</w:t>
      </w:r>
      <w:bookmarkEnd w:id="97"/>
    </w:p>
    <w:p>
      <w:pPr>
        <w:numPr>
          <w:ilvl w:val="2"/>
          <w:numId w:val="2"/>
        </w:numPr>
        <w:tabs>
          <w:tab w:val="left" w:pos="1134"/>
          <w:tab w:val="left" w:pos="1260"/>
        </w:tabs>
        <w:autoSpaceDE w:val="0"/>
        <w:autoSpaceDN w:val="0"/>
        <w:adjustRightInd w:val="0"/>
        <w:snapToGrid w:val="0"/>
        <w:spacing w:after="156" w:afterLines="50" w:line="400" w:lineRule="exact"/>
        <w:rPr>
          <w:rFonts w:ascii="宋体" w:hAnsi="宋体" w:cs="宋体"/>
          <w:color w:val="auto"/>
          <w:kern w:val="0"/>
          <w:szCs w:val="21"/>
        </w:rPr>
      </w:pPr>
      <w:bookmarkStart w:id="98" w:name="_Toc195921814"/>
      <w:r>
        <w:rPr>
          <w:rFonts w:hint="eastAsia" w:ascii="宋体" w:hAnsi="宋体" w:cs="宋体"/>
          <w:color w:val="auto"/>
          <w:kern w:val="0"/>
          <w:szCs w:val="21"/>
        </w:rPr>
        <w:t>供应商应按磋商文件第六章提供的格式进行首次报价。</w:t>
      </w:r>
    </w:p>
    <w:p>
      <w:pPr>
        <w:numPr>
          <w:ilvl w:val="2"/>
          <w:numId w:val="2"/>
        </w:numPr>
        <w:tabs>
          <w:tab w:val="left" w:pos="1260"/>
        </w:tabs>
        <w:autoSpaceDE w:val="0"/>
        <w:autoSpaceDN w:val="0"/>
        <w:adjustRightInd w:val="0"/>
        <w:snapToGrid w:val="0"/>
        <w:spacing w:after="156" w:afterLines="50" w:line="400" w:lineRule="exact"/>
        <w:ind w:left="14" w:hanging="14"/>
        <w:rPr>
          <w:rFonts w:ascii="宋体" w:hAnsi="宋体" w:cs="宋体"/>
          <w:color w:val="auto"/>
          <w:kern w:val="0"/>
          <w:szCs w:val="21"/>
        </w:rPr>
      </w:pPr>
      <w:r>
        <w:rPr>
          <w:rFonts w:hint="eastAsia" w:ascii="宋体" w:hAnsi="宋体" w:cs="宋体"/>
          <w:color w:val="auto"/>
          <w:kern w:val="0"/>
          <w:szCs w:val="21"/>
        </w:rPr>
        <w:t>所有根据合同或其它原因应由供应商支付的税款和其它应交纳的费用都应包括在供应商提交的报价中。</w:t>
      </w:r>
    </w:p>
    <w:p>
      <w:pPr>
        <w:numPr>
          <w:ilvl w:val="2"/>
          <w:numId w:val="2"/>
        </w:numPr>
        <w:tabs>
          <w:tab w:val="left" w:pos="1134"/>
          <w:tab w:val="left" w:pos="1260"/>
        </w:tabs>
        <w:autoSpaceDE w:val="0"/>
        <w:autoSpaceDN w:val="0"/>
        <w:adjustRightInd w:val="0"/>
        <w:snapToGrid w:val="0"/>
        <w:spacing w:after="156" w:afterLines="50" w:line="400" w:lineRule="exact"/>
        <w:rPr>
          <w:rFonts w:ascii="宋体" w:hAnsi="宋体" w:cs="宋体"/>
          <w:color w:val="auto"/>
          <w:kern w:val="0"/>
          <w:szCs w:val="21"/>
        </w:rPr>
      </w:pPr>
      <w:r>
        <w:rPr>
          <w:rFonts w:hint="eastAsia" w:ascii="宋体" w:hAnsi="宋体" w:cs="宋体"/>
          <w:color w:val="auto"/>
          <w:kern w:val="0"/>
          <w:szCs w:val="21"/>
        </w:rPr>
        <w:t>供应商应仔细阅读所有磋商文件，填报自己认为正确的报价。</w:t>
      </w:r>
    </w:p>
    <w:p>
      <w:pPr>
        <w:numPr>
          <w:ilvl w:val="1"/>
          <w:numId w:val="2"/>
        </w:numPr>
        <w:tabs>
          <w:tab w:val="left" w:pos="1134"/>
        </w:tabs>
        <w:autoSpaceDE w:val="0"/>
        <w:autoSpaceDN w:val="0"/>
        <w:adjustRightInd w:val="0"/>
        <w:snapToGrid w:val="0"/>
        <w:spacing w:after="156" w:afterLines="50" w:line="400" w:lineRule="exact"/>
        <w:rPr>
          <w:rFonts w:ascii="宋体" w:hAnsi="宋体" w:cs="宋体"/>
          <w:color w:val="auto"/>
          <w:kern w:val="0"/>
          <w:szCs w:val="21"/>
        </w:rPr>
      </w:pPr>
      <w:r>
        <w:rPr>
          <w:rFonts w:hint="eastAsia" w:ascii="宋体" w:hAnsi="宋体" w:cs="宋体"/>
          <w:color w:val="auto"/>
          <w:kern w:val="0"/>
          <w:szCs w:val="21"/>
        </w:rPr>
        <w:t>供应商对采购内容只允许有一个报价，采购人不接受任何有选择的报价。</w:t>
      </w:r>
    </w:p>
    <w:p>
      <w:pPr>
        <w:numPr>
          <w:ilvl w:val="1"/>
          <w:numId w:val="2"/>
        </w:numPr>
        <w:tabs>
          <w:tab w:val="left" w:pos="1260"/>
        </w:tabs>
        <w:autoSpaceDE w:val="0"/>
        <w:autoSpaceDN w:val="0"/>
        <w:adjustRightInd w:val="0"/>
        <w:snapToGrid w:val="0"/>
        <w:spacing w:after="156" w:afterLines="50" w:line="400" w:lineRule="exact"/>
        <w:ind w:left="14" w:hanging="14"/>
        <w:rPr>
          <w:rFonts w:ascii="宋体" w:hAnsi="宋体" w:cs="宋体"/>
          <w:color w:val="auto"/>
          <w:kern w:val="0"/>
          <w:szCs w:val="21"/>
        </w:rPr>
      </w:pPr>
      <w:r>
        <w:rPr>
          <w:rFonts w:hint="eastAsia" w:ascii="宋体" w:hAnsi="宋体" w:cs="宋体"/>
          <w:color w:val="auto"/>
          <w:kern w:val="0"/>
          <w:szCs w:val="21"/>
        </w:rPr>
        <w:t>本项目为总价合同，除非合同另有约定，供应商所报的最后价格在合同执行过程中是固定不变的，不得以任何理由予以变更。任何包含价格调整要求的响应文件，将被认为是非实质响应性而予以拒绝。</w:t>
      </w:r>
    </w:p>
    <w:p>
      <w:pPr>
        <w:numPr>
          <w:ilvl w:val="1"/>
          <w:numId w:val="2"/>
        </w:numPr>
        <w:tabs>
          <w:tab w:val="left" w:pos="1134"/>
        </w:tabs>
        <w:autoSpaceDE w:val="0"/>
        <w:autoSpaceDN w:val="0"/>
        <w:adjustRightInd w:val="0"/>
        <w:snapToGrid w:val="0"/>
        <w:spacing w:after="156" w:afterLines="50" w:line="400" w:lineRule="exact"/>
        <w:rPr>
          <w:rFonts w:ascii="宋体" w:hAnsi="宋体" w:cs="宋体"/>
          <w:color w:val="auto"/>
          <w:kern w:val="0"/>
          <w:szCs w:val="21"/>
        </w:rPr>
      </w:pPr>
      <w:r>
        <w:rPr>
          <w:rFonts w:hint="eastAsia" w:ascii="宋体" w:hAnsi="宋体" w:cs="宋体"/>
          <w:color w:val="auto"/>
          <w:kern w:val="0"/>
          <w:szCs w:val="21"/>
        </w:rPr>
        <w:t>报价不得有选择性报价和附有条件的报价，且不得高于预算价或最高限价，否则其报价无效。</w:t>
      </w:r>
    </w:p>
    <w:p>
      <w:pPr>
        <w:numPr>
          <w:ilvl w:val="1"/>
          <w:numId w:val="2"/>
        </w:numPr>
        <w:tabs>
          <w:tab w:val="left" w:pos="1134"/>
        </w:tabs>
        <w:autoSpaceDE w:val="0"/>
        <w:autoSpaceDN w:val="0"/>
        <w:adjustRightInd w:val="0"/>
        <w:snapToGrid w:val="0"/>
        <w:spacing w:after="156" w:afterLines="50" w:line="400" w:lineRule="exact"/>
        <w:rPr>
          <w:rFonts w:ascii="宋体" w:hAnsi="宋体" w:cs="宋体"/>
          <w:color w:val="auto"/>
          <w:kern w:val="0"/>
          <w:szCs w:val="21"/>
        </w:rPr>
      </w:pPr>
      <w:bookmarkStart w:id="99" w:name="_Ref421009326"/>
      <w:r>
        <w:rPr>
          <w:rFonts w:hint="eastAsia" w:ascii="宋体" w:hAnsi="宋体" w:cs="宋体"/>
          <w:color w:val="auto"/>
          <w:kern w:val="0"/>
          <w:szCs w:val="21"/>
        </w:rPr>
        <w:t>响应文件有效期</w:t>
      </w:r>
      <w:bookmarkEnd w:id="98"/>
      <w:bookmarkEnd w:id="99"/>
    </w:p>
    <w:p>
      <w:pPr>
        <w:numPr>
          <w:ilvl w:val="2"/>
          <w:numId w:val="2"/>
        </w:numPr>
        <w:tabs>
          <w:tab w:val="left" w:pos="1260"/>
        </w:tabs>
        <w:autoSpaceDE w:val="0"/>
        <w:autoSpaceDN w:val="0"/>
        <w:adjustRightInd w:val="0"/>
        <w:snapToGrid w:val="0"/>
        <w:spacing w:after="156" w:afterLines="50" w:line="400" w:lineRule="exact"/>
        <w:ind w:left="14" w:hanging="14"/>
        <w:rPr>
          <w:rFonts w:ascii="宋体" w:hAnsi="宋体" w:cs="宋体"/>
          <w:color w:val="auto"/>
          <w:kern w:val="0"/>
          <w:szCs w:val="21"/>
        </w:rPr>
      </w:pPr>
      <w:bookmarkStart w:id="100" w:name="_Ref527102185"/>
      <w:r>
        <w:rPr>
          <w:rFonts w:hint="eastAsia" w:ascii="宋体" w:hAnsi="宋体" w:cs="宋体"/>
          <w:color w:val="auto"/>
          <w:szCs w:val="21"/>
        </w:rPr>
        <w:t>本项目</w:t>
      </w:r>
      <w:r>
        <w:rPr>
          <w:rFonts w:hint="eastAsia" w:ascii="宋体" w:hAnsi="宋体" w:cs="宋体"/>
          <w:color w:val="auto"/>
          <w:kern w:val="0"/>
          <w:szCs w:val="21"/>
        </w:rPr>
        <w:t>响应文件</w:t>
      </w:r>
      <w:r>
        <w:rPr>
          <w:rFonts w:hint="eastAsia" w:ascii="宋体" w:hAnsi="宋体" w:cs="宋体"/>
          <w:color w:val="auto"/>
          <w:szCs w:val="21"/>
        </w:rPr>
        <w:t>有效期见供应商须知前附表。</w:t>
      </w:r>
      <w:r>
        <w:rPr>
          <w:rFonts w:hint="eastAsia" w:ascii="宋体" w:hAnsi="宋体" w:cs="宋体"/>
          <w:color w:val="auto"/>
          <w:kern w:val="0"/>
          <w:szCs w:val="21"/>
        </w:rPr>
        <w:t>响应文件</w:t>
      </w:r>
      <w:r>
        <w:rPr>
          <w:rFonts w:hint="eastAsia" w:ascii="宋体" w:hAnsi="宋体" w:cs="宋体"/>
          <w:color w:val="auto"/>
          <w:szCs w:val="21"/>
        </w:rPr>
        <w:t>有效期从提交响应文件的截止之日起算。响应文件中承诺的有效期应当不少于磋商文件中载明的有效期。</w:t>
      </w:r>
      <w:bookmarkEnd w:id="100"/>
    </w:p>
    <w:p>
      <w:pPr>
        <w:numPr>
          <w:ilvl w:val="2"/>
          <w:numId w:val="2"/>
        </w:numPr>
        <w:tabs>
          <w:tab w:val="left" w:pos="1134"/>
          <w:tab w:val="left" w:pos="1260"/>
        </w:tabs>
        <w:autoSpaceDE w:val="0"/>
        <w:autoSpaceDN w:val="0"/>
        <w:adjustRightInd w:val="0"/>
        <w:snapToGrid w:val="0"/>
        <w:spacing w:after="156" w:afterLines="50" w:line="400" w:lineRule="exact"/>
        <w:ind w:left="14" w:hanging="14"/>
        <w:rPr>
          <w:rFonts w:ascii="宋体" w:hAnsi="宋体" w:cs="宋体"/>
          <w:color w:val="auto"/>
          <w:kern w:val="0"/>
          <w:szCs w:val="21"/>
        </w:rPr>
      </w:pPr>
      <w:r>
        <w:rPr>
          <w:rFonts w:hint="eastAsia" w:ascii="宋体" w:hAnsi="宋体" w:cs="宋体"/>
          <w:color w:val="auto"/>
          <w:kern w:val="0"/>
          <w:szCs w:val="21"/>
        </w:rPr>
        <w:t>在供应商须知前附表规定的响应文件有效期内，供应商不得要求撤销或修改其响应文件。</w:t>
      </w:r>
    </w:p>
    <w:p>
      <w:pPr>
        <w:numPr>
          <w:ilvl w:val="1"/>
          <w:numId w:val="2"/>
        </w:numPr>
        <w:tabs>
          <w:tab w:val="left" w:pos="1134"/>
        </w:tabs>
        <w:autoSpaceDE w:val="0"/>
        <w:autoSpaceDN w:val="0"/>
        <w:adjustRightInd w:val="0"/>
        <w:snapToGrid w:val="0"/>
        <w:spacing w:after="156" w:afterLines="50" w:line="400" w:lineRule="exact"/>
        <w:rPr>
          <w:rFonts w:ascii="宋体" w:hAnsi="宋体" w:cs="宋体"/>
          <w:color w:val="auto"/>
          <w:kern w:val="0"/>
          <w:szCs w:val="21"/>
        </w:rPr>
      </w:pPr>
      <w:bookmarkStart w:id="101" w:name="_Toc195921815"/>
      <w:r>
        <w:rPr>
          <w:rFonts w:hint="eastAsia" w:ascii="宋体" w:hAnsi="宋体" w:cs="宋体"/>
          <w:color w:val="auto"/>
          <w:kern w:val="0"/>
          <w:szCs w:val="21"/>
        </w:rPr>
        <w:t>磋商保证金</w:t>
      </w:r>
      <w:bookmarkEnd w:id="101"/>
    </w:p>
    <w:p>
      <w:pPr>
        <w:numPr>
          <w:ilvl w:val="2"/>
          <w:numId w:val="2"/>
        </w:numPr>
        <w:tabs>
          <w:tab w:val="left" w:pos="1260"/>
        </w:tabs>
        <w:autoSpaceDE w:val="0"/>
        <w:autoSpaceDN w:val="0"/>
        <w:adjustRightInd w:val="0"/>
        <w:snapToGrid w:val="0"/>
        <w:spacing w:after="156" w:afterLines="50" w:line="400" w:lineRule="exact"/>
        <w:ind w:left="14" w:hanging="14"/>
        <w:rPr>
          <w:rFonts w:ascii="宋体" w:hAnsi="宋体" w:cs="宋体"/>
          <w:color w:val="auto"/>
          <w:kern w:val="0"/>
          <w:szCs w:val="21"/>
        </w:rPr>
      </w:pPr>
      <w:bookmarkStart w:id="102" w:name="_Ref419361076"/>
      <w:r>
        <w:rPr>
          <w:rFonts w:hint="eastAsia" w:ascii="宋体" w:hAnsi="宋体" w:cs="宋体"/>
          <w:color w:val="auto"/>
          <w:kern w:val="0"/>
          <w:szCs w:val="21"/>
        </w:rPr>
        <w:t>供应商应按供应商前附表规定的金额、形式递交磋商保证金，并作为其响应文件的组成部分。以联合体形式递交响应文件的，可以由联合体中的一方或者共同提交磋商保证金，以一方名义提交磋商保证金的，对联合体各方均具有约束力。</w:t>
      </w:r>
      <w:bookmarkEnd w:id="102"/>
    </w:p>
    <w:p>
      <w:pPr>
        <w:numPr>
          <w:ilvl w:val="2"/>
          <w:numId w:val="2"/>
        </w:numPr>
        <w:tabs>
          <w:tab w:val="left" w:pos="1134"/>
          <w:tab w:val="left" w:pos="1260"/>
        </w:tabs>
        <w:autoSpaceDE w:val="0"/>
        <w:autoSpaceDN w:val="0"/>
        <w:adjustRightInd w:val="0"/>
        <w:snapToGrid w:val="0"/>
        <w:spacing w:after="156" w:afterLines="50" w:line="400" w:lineRule="exact"/>
        <w:rPr>
          <w:rFonts w:ascii="宋体" w:hAnsi="宋体" w:cs="宋体"/>
          <w:color w:val="auto"/>
          <w:kern w:val="0"/>
          <w:szCs w:val="21"/>
        </w:rPr>
      </w:pPr>
      <w:r>
        <w:rPr>
          <w:rFonts w:hint="eastAsia" w:ascii="宋体" w:hAnsi="宋体" w:cs="宋体"/>
          <w:color w:val="auto"/>
          <w:kern w:val="0"/>
          <w:szCs w:val="21"/>
        </w:rPr>
        <w:t>供应商不按本章第</w:t>
      </w:r>
      <w:r>
        <w:rPr>
          <w:rFonts w:hint="eastAsia" w:ascii="宋体" w:hAnsi="宋体" w:cs="宋体"/>
          <w:color w:val="auto"/>
        </w:rPr>
        <w:fldChar w:fldCharType="begin"/>
      </w:r>
      <w:r>
        <w:rPr>
          <w:rFonts w:hint="eastAsia" w:ascii="宋体" w:hAnsi="宋体" w:cs="宋体"/>
          <w:color w:val="auto"/>
        </w:rPr>
        <w:instrText xml:space="preserve"> REF _Ref419361076 \r \h  \* MERGEFORMAT </w:instrText>
      </w:r>
      <w:r>
        <w:rPr>
          <w:rFonts w:hint="eastAsia" w:ascii="宋体" w:hAnsi="宋体" w:cs="宋体"/>
          <w:color w:val="auto"/>
        </w:rPr>
        <w:fldChar w:fldCharType="separate"/>
      </w:r>
      <w:r>
        <w:rPr>
          <w:rFonts w:hint="eastAsia" w:ascii="宋体" w:hAnsi="宋体" w:cs="宋体"/>
          <w:color w:val="auto"/>
          <w:kern w:val="0"/>
          <w:szCs w:val="21"/>
        </w:rPr>
        <w:t>3.7.1</w:t>
      </w:r>
      <w:r>
        <w:rPr>
          <w:rFonts w:hint="eastAsia" w:ascii="宋体" w:hAnsi="宋体" w:cs="宋体"/>
          <w:color w:val="auto"/>
        </w:rPr>
        <w:fldChar w:fldCharType="end"/>
      </w:r>
      <w:r>
        <w:rPr>
          <w:rFonts w:hint="eastAsia" w:ascii="宋体" w:hAnsi="宋体" w:cs="宋体"/>
          <w:color w:val="auto"/>
          <w:kern w:val="0"/>
          <w:szCs w:val="21"/>
        </w:rPr>
        <w:t>项要求提交磋商保证金的，其响应文件无效。</w:t>
      </w:r>
    </w:p>
    <w:p>
      <w:pPr>
        <w:numPr>
          <w:ilvl w:val="2"/>
          <w:numId w:val="2"/>
        </w:numPr>
        <w:tabs>
          <w:tab w:val="left" w:pos="1260"/>
        </w:tabs>
        <w:autoSpaceDE w:val="0"/>
        <w:autoSpaceDN w:val="0"/>
        <w:adjustRightInd w:val="0"/>
        <w:snapToGrid w:val="0"/>
        <w:spacing w:after="156" w:afterLines="50" w:line="400" w:lineRule="exact"/>
        <w:ind w:left="14" w:hanging="14"/>
        <w:rPr>
          <w:rFonts w:ascii="宋体" w:hAnsi="宋体" w:cs="宋体"/>
          <w:color w:val="auto"/>
          <w:szCs w:val="21"/>
        </w:rPr>
      </w:pPr>
      <w:bookmarkStart w:id="103" w:name="_Ref419361088"/>
      <w:r>
        <w:rPr>
          <w:rFonts w:hint="eastAsia" w:ascii="宋体" w:hAnsi="宋体" w:cs="宋体"/>
          <w:color w:val="auto"/>
          <w:szCs w:val="21"/>
        </w:rPr>
        <w:t>供应商在首次递交响应文件截止时间3日前，按磋商文件的要求向采购代理机构递交磋商保证金，递交首次响应文件截止时间之后递交的磋商保证金将被拒绝。</w:t>
      </w:r>
      <w:bookmarkEnd w:id="103"/>
    </w:p>
    <w:p>
      <w:pPr>
        <w:numPr>
          <w:ilvl w:val="2"/>
          <w:numId w:val="2"/>
        </w:numPr>
        <w:tabs>
          <w:tab w:val="left" w:pos="1260"/>
        </w:tabs>
        <w:autoSpaceDE w:val="0"/>
        <w:autoSpaceDN w:val="0"/>
        <w:adjustRightInd w:val="0"/>
        <w:snapToGrid w:val="0"/>
        <w:spacing w:after="156" w:afterLines="50" w:line="400" w:lineRule="exact"/>
        <w:ind w:left="14" w:hanging="14"/>
        <w:rPr>
          <w:rFonts w:ascii="宋体" w:hAnsi="宋体" w:cs="宋体"/>
          <w:color w:val="auto"/>
          <w:szCs w:val="21"/>
        </w:rPr>
      </w:pPr>
      <w:r>
        <w:rPr>
          <w:rFonts w:hint="eastAsia" w:ascii="宋体" w:hAnsi="宋体" w:cs="宋体"/>
          <w:color w:val="auto"/>
          <w:szCs w:val="21"/>
        </w:rPr>
        <w:t>供应商在汇款时务必注明所参与磋商项目的编号及用途，否则，因款项用途不明导致响应文件无效等后果由供应商自行承担。</w:t>
      </w:r>
    </w:p>
    <w:p>
      <w:pPr>
        <w:numPr>
          <w:ilvl w:val="2"/>
          <w:numId w:val="2"/>
        </w:numPr>
        <w:tabs>
          <w:tab w:val="left" w:pos="1260"/>
        </w:tabs>
        <w:autoSpaceDE w:val="0"/>
        <w:autoSpaceDN w:val="0"/>
        <w:adjustRightInd w:val="0"/>
        <w:snapToGrid w:val="0"/>
        <w:spacing w:after="156" w:afterLines="50" w:line="400" w:lineRule="exact"/>
        <w:ind w:left="14" w:hanging="14"/>
        <w:rPr>
          <w:rFonts w:ascii="宋体" w:hAnsi="宋体" w:cs="宋体"/>
          <w:color w:val="auto"/>
          <w:kern w:val="0"/>
          <w:szCs w:val="21"/>
        </w:rPr>
      </w:pPr>
      <w:r>
        <w:rPr>
          <w:rFonts w:hint="eastAsia" w:ascii="宋体" w:hAnsi="宋体" w:cs="宋体"/>
          <w:color w:val="auto"/>
          <w:kern w:val="0"/>
          <w:szCs w:val="21"/>
        </w:rPr>
        <w:t>采购人或者采购代理机构应当自成交通知书发出之日起5个工作日内退还非成交供应商的磋商保证金，自政府采购合同签订之日起5个工作日内退还成交供应商的磋商保证金</w:t>
      </w:r>
      <w:r>
        <w:rPr>
          <w:rFonts w:hint="eastAsia" w:ascii="宋体" w:hAnsi="宋体" w:cs="宋体"/>
          <w:color w:val="auto"/>
          <w:szCs w:val="21"/>
        </w:rPr>
        <w:t>或者转为成交供应商的履约保证金</w:t>
      </w:r>
      <w:r>
        <w:rPr>
          <w:rFonts w:hint="eastAsia" w:ascii="宋体" w:hAnsi="宋体" w:cs="宋体"/>
          <w:color w:val="auto"/>
          <w:kern w:val="0"/>
          <w:szCs w:val="21"/>
        </w:rPr>
        <w:t>。</w:t>
      </w:r>
    </w:p>
    <w:p>
      <w:pPr>
        <w:autoSpaceDE w:val="0"/>
        <w:autoSpaceDN w:val="0"/>
        <w:adjustRightInd w:val="0"/>
        <w:snapToGrid w:val="0"/>
        <w:spacing w:after="156" w:afterLines="50" w:line="400" w:lineRule="exact"/>
        <w:ind w:firstLine="420" w:firstLineChars="200"/>
        <w:rPr>
          <w:rFonts w:ascii="宋体" w:hAnsi="宋体" w:cs="宋体"/>
          <w:color w:val="auto"/>
          <w:kern w:val="0"/>
          <w:szCs w:val="21"/>
        </w:rPr>
      </w:pPr>
      <w:r>
        <w:rPr>
          <w:rFonts w:hint="eastAsia" w:ascii="宋体" w:hAnsi="宋体" w:cs="宋体"/>
          <w:color w:val="auto"/>
          <w:kern w:val="0"/>
          <w:szCs w:val="21"/>
        </w:rPr>
        <w:t>采购人或者采购代理机构逾期退还磋商保证金的，除退还磋商保证金本金外，还应当按中国人民银行同期贷款基准利率上浮20％后的利率支付超期资金占用费，但因供应商自身原因导致无法及时退还的除外。</w:t>
      </w:r>
    </w:p>
    <w:p>
      <w:pPr>
        <w:numPr>
          <w:ilvl w:val="2"/>
          <w:numId w:val="2"/>
        </w:numPr>
        <w:tabs>
          <w:tab w:val="left" w:pos="1134"/>
          <w:tab w:val="left" w:pos="1260"/>
        </w:tabs>
        <w:autoSpaceDE w:val="0"/>
        <w:autoSpaceDN w:val="0"/>
        <w:adjustRightInd w:val="0"/>
        <w:snapToGrid w:val="0"/>
        <w:spacing w:after="156" w:afterLines="50" w:line="400" w:lineRule="exact"/>
        <w:rPr>
          <w:rFonts w:ascii="宋体" w:hAnsi="宋体" w:cs="宋体"/>
          <w:color w:val="auto"/>
          <w:kern w:val="0"/>
          <w:szCs w:val="21"/>
        </w:rPr>
      </w:pPr>
      <w:r>
        <w:rPr>
          <w:rFonts w:hint="eastAsia" w:ascii="宋体" w:hAnsi="宋体" w:cs="宋体"/>
          <w:color w:val="auto"/>
          <w:szCs w:val="21"/>
        </w:rPr>
        <w:t>供应商有下列行为之一者，其磋商保证金可不予退还：</w:t>
      </w:r>
    </w:p>
    <w:p>
      <w:pPr>
        <w:tabs>
          <w:tab w:val="left" w:pos="1843"/>
        </w:tabs>
        <w:autoSpaceDE w:val="0"/>
        <w:autoSpaceDN w:val="0"/>
        <w:adjustRightInd w:val="0"/>
        <w:snapToGrid w:val="0"/>
        <w:spacing w:after="156" w:afterLines="50" w:line="400" w:lineRule="exact"/>
        <w:ind w:left="1659" w:hanging="1659" w:hangingChars="790"/>
        <w:rPr>
          <w:rFonts w:ascii="宋体" w:hAnsi="宋体" w:cs="宋体"/>
          <w:color w:val="auto"/>
          <w:kern w:val="0"/>
          <w:szCs w:val="21"/>
        </w:rPr>
      </w:pPr>
      <w:r>
        <w:rPr>
          <w:rFonts w:hint="eastAsia" w:ascii="宋体" w:hAnsi="宋体" w:cs="宋体"/>
          <w:color w:val="auto"/>
          <w:kern w:val="0"/>
          <w:szCs w:val="21"/>
        </w:rPr>
        <w:t>（1）供应商在响应文件有效期内撤回响应文件的；</w:t>
      </w:r>
    </w:p>
    <w:p>
      <w:pPr>
        <w:tabs>
          <w:tab w:val="left" w:pos="1843"/>
        </w:tabs>
        <w:autoSpaceDE w:val="0"/>
        <w:autoSpaceDN w:val="0"/>
        <w:adjustRightInd w:val="0"/>
        <w:snapToGrid w:val="0"/>
        <w:spacing w:after="156" w:afterLines="50" w:line="400" w:lineRule="exact"/>
        <w:ind w:left="1659" w:hanging="1659" w:hangingChars="790"/>
        <w:rPr>
          <w:rFonts w:ascii="宋体" w:hAnsi="宋体" w:cs="宋体"/>
          <w:color w:val="auto"/>
          <w:kern w:val="0"/>
          <w:szCs w:val="21"/>
        </w:rPr>
      </w:pPr>
      <w:r>
        <w:rPr>
          <w:rFonts w:hint="eastAsia" w:ascii="宋体" w:hAnsi="宋体" w:cs="宋体"/>
          <w:color w:val="auto"/>
          <w:kern w:val="0"/>
          <w:szCs w:val="21"/>
        </w:rPr>
        <w:t>（2）供应商在响应文件中提供虚假材料的；</w:t>
      </w:r>
    </w:p>
    <w:p>
      <w:pPr>
        <w:tabs>
          <w:tab w:val="left" w:pos="1843"/>
        </w:tabs>
        <w:autoSpaceDE w:val="0"/>
        <w:autoSpaceDN w:val="0"/>
        <w:adjustRightInd w:val="0"/>
        <w:snapToGrid w:val="0"/>
        <w:spacing w:after="156" w:afterLines="50" w:line="400" w:lineRule="exact"/>
        <w:ind w:left="1659" w:hanging="1659" w:hangingChars="790"/>
        <w:rPr>
          <w:rFonts w:ascii="宋体" w:hAnsi="宋体" w:cs="宋体"/>
          <w:color w:val="auto"/>
          <w:kern w:val="0"/>
          <w:szCs w:val="21"/>
        </w:rPr>
      </w:pPr>
      <w:r>
        <w:rPr>
          <w:rFonts w:hint="eastAsia" w:ascii="宋体" w:hAnsi="宋体" w:cs="宋体"/>
          <w:color w:val="auto"/>
          <w:kern w:val="0"/>
          <w:szCs w:val="21"/>
        </w:rPr>
        <w:t>（3）除因不可抗力或磋商文件认可的情形以外，成交供应商不与采购人签订合同的；</w:t>
      </w:r>
    </w:p>
    <w:p>
      <w:pPr>
        <w:tabs>
          <w:tab w:val="left" w:pos="1843"/>
        </w:tabs>
        <w:autoSpaceDE w:val="0"/>
        <w:autoSpaceDN w:val="0"/>
        <w:adjustRightInd w:val="0"/>
        <w:snapToGrid w:val="0"/>
        <w:spacing w:after="156" w:afterLines="50" w:line="400" w:lineRule="exact"/>
        <w:ind w:left="1659" w:hanging="1659" w:hangingChars="790"/>
        <w:rPr>
          <w:rFonts w:ascii="宋体" w:hAnsi="宋体" w:cs="宋体"/>
          <w:color w:val="auto"/>
          <w:kern w:val="0"/>
          <w:szCs w:val="21"/>
        </w:rPr>
      </w:pPr>
      <w:r>
        <w:rPr>
          <w:rFonts w:hint="eastAsia" w:ascii="宋体" w:hAnsi="宋体" w:cs="宋体"/>
          <w:color w:val="auto"/>
          <w:kern w:val="0"/>
          <w:szCs w:val="21"/>
        </w:rPr>
        <w:t>（4）供应商与采购人、其他供应商或者采购代理机构恶意串通的；</w:t>
      </w:r>
    </w:p>
    <w:p>
      <w:pPr>
        <w:tabs>
          <w:tab w:val="left" w:pos="1843"/>
        </w:tabs>
        <w:autoSpaceDE w:val="0"/>
        <w:autoSpaceDN w:val="0"/>
        <w:adjustRightInd w:val="0"/>
        <w:snapToGrid w:val="0"/>
        <w:spacing w:after="156" w:afterLines="50" w:line="400" w:lineRule="exact"/>
        <w:ind w:left="1659" w:hanging="1659" w:hangingChars="790"/>
        <w:rPr>
          <w:rFonts w:ascii="宋体" w:hAnsi="宋体" w:cs="宋体"/>
          <w:color w:val="auto"/>
          <w:kern w:val="0"/>
          <w:szCs w:val="21"/>
        </w:rPr>
      </w:pPr>
      <w:r>
        <w:rPr>
          <w:rFonts w:hint="eastAsia" w:ascii="宋体" w:hAnsi="宋体" w:cs="宋体"/>
          <w:color w:val="auto"/>
          <w:kern w:val="0"/>
          <w:szCs w:val="21"/>
        </w:rPr>
        <w:t>（5）磋商文件规定应由成交供应商缴纳代理服务费而成交供应商未缴纳的；</w:t>
      </w:r>
    </w:p>
    <w:p>
      <w:pPr>
        <w:tabs>
          <w:tab w:val="left" w:pos="1843"/>
        </w:tabs>
        <w:autoSpaceDE w:val="0"/>
        <w:autoSpaceDN w:val="0"/>
        <w:adjustRightInd w:val="0"/>
        <w:snapToGrid w:val="0"/>
        <w:spacing w:after="156" w:afterLines="50" w:line="400" w:lineRule="exact"/>
        <w:ind w:left="1659" w:hanging="1659" w:hangingChars="790"/>
        <w:rPr>
          <w:rFonts w:ascii="宋体" w:hAnsi="宋体" w:cs="宋体"/>
          <w:color w:val="auto"/>
          <w:kern w:val="0"/>
          <w:szCs w:val="21"/>
        </w:rPr>
      </w:pPr>
      <w:r>
        <w:rPr>
          <w:rFonts w:hint="eastAsia" w:ascii="宋体" w:hAnsi="宋体" w:cs="宋体"/>
          <w:color w:val="auto"/>
          <w:kern w:val="0"/>
          <w:szCs w:val="21"/>
        </w:rPr>
        <w:t xml:space="preserve">（6）磋商文件规定的其他情形。  </w:t>
      </w:r>
    </w:p>
    <w:p>
      <w:pPr>
        <w:tabs>
          <w:tab w:val="left" w:pos="1843"/>
        </w:tabs>
        <w:autoSpaceDE w:val="0"/>
        <w:autoSpaceDN w:val="0"/>
        <w:adjustRightInd w:val="0"/>
        <w:snapToGrid w:val="0"/>
        <w:spacing w:after="156" w:afterLines="50" w:line="40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3.7.7采购代理机构退还采购保证金的办法</w:t>
      </w:r>
    </w:p>
    <w:p>
      <w:pPr>
        <w:tabs>
          <w:tab w:val="left" w:pos="1843"/>
        </w:tabs>
        <w:autoSpaceDE w:val="0"/>
        <w:autoSpaceDN w:val="0"/>
        <w:adjustRightInd w:val="0"/>
        <w:snapToGrid w:val="0"/>
        <w:spacing w:after="156" w:afterLines="50" w:line="400" w:lineRule="exact"/>
        <w:ind w:left="1659" w:hanging="1659" w:hangingChars="79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（1）办理退款需提供的资料</w:t>
      </w:r>
    </w:p>
    <w:p>
      <w:pPr>
        <w:tabs>
          <w:tab w:val="left" w:pos="1843"/>
        </w:tabs>
        <w:autoSpaceDE w:val="0"/>
        <w:autoSpaceDN w:val="0"/>
        <w:adjustRightInd w:val="0"/>
        <w:snapToGrid w:val="0"/>
        <w:spacing w:after="156" w:afterLines="50" w:line="400" w:lineRule="exact"/>
        <w:ind w:left="17" w:leftChars="8" w:firstLine="184" w:firstLineChars="88"/>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1）供应商办理保证金退款时必须提供收款单位开具的财务收据/收条原件，收据上须加盖公司的公章、财务专用章。</w:t>
      </w:r>
    </w:p>
    <w:p>
      <w:pPr>
        <w:tabs>
          <w:tab w:val="left" w:pos="1843"/>
        </w:tabs>
        <w:autoSpaceDE w:val="0"/>
        <w:autoSpaceDN w:val="0"/>
        <w:adjustRightInd w:val="0"/>
        <w:snapToGrid w:val="0"/>
        <w:spacing w:after="156" w:afterLines="50" w:line="400" w:lineRule="exact"/>
        <w:ind w:left="15" w:leftChars="7" w:firstLine="201" w:firstLineChars="96"/>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2）办理退款时需提供项目编号，没有项目编号恕不能及时办理；收据背面需写明退款的单位的汇款信息，（即基本账户）同时注明开户行所在省市。</w:t>
      </w:r>
    </w:p>
    <w:p>
      <w:pPr>
        <w:tabs>
          <w:tab w:val="left" w:pos="1843"/>
        </w:tabs>
        <w:autoSpaceDE w:val="0"/>
        <w:autoSpaceDN w:val="0"/>
        <w:adjustRightInd w:val="0"/>
        <w:snapToGrid w:val="0"/>
        <w:spacing w:after="156" w:afterLines="50" w:line="400" w:lineRule="exact"/>
        <w:ind w:left="15" w:leftChars="7" w:firstLine="201" w:firstLineChars="96"/>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3）中标/成交单位和中标/成交候选单位退还采购保证金需我公司采购部门经理或副经理签字，并注明中标人/成交人合同签订情况；</w:t>
      </w:r>
    </w:p>
    <w:p>
      <w:pPr>
        <w:tabs>
          <w:tab w:val="left" w:pos="1843"/>
        </w:tabs>
        <w:autoSpaceDE w:val="0"/>
        <w:autoSpaceDN w:val="0"/>
        <w:adjustRightInd w:val="0"/>
        <w:snapToGrid w:val="0"/>
        <w:spacing w:after="156" w:afterLines="50" w:line="400" w:lineRule="exact"/>
        <w:ind w:firstLine="21" w:firstLineChars="1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（2）我公司办理退款的时间：电汇退款在周一集中办理，款项一般要经过3至5个工作日到账。</w:t>
      </w:r>
    </w:p>
    <w:p>
      <w:pPr>
        <w:tabs>
          <w:tab w:val="left" w:pos="1843"/>
        </w:tabs>
        <w:autoSpaceDE w:val="0"/>
        <w:autoSpaceDN w:val="0"/>
        <w:adjustRightInd w:val="0"/>
        <w:snapToGrid w:val="0"/>
        <w:spacing w:after="156" w:afterLines="50" w:line="400" w:lineRule="exact"/>
        <w:ind w:left="1659" w:hanging="1659" w:hangingChars="79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（3）其它事项说明</w:t>
      </w:r>
    </w:p>
    <w:p>
      <w:pPr>
        <w:tabs>
          <w:tab w:val="left" w:pos="1843"/>
        </w:tabs>
        <w:autoSpaceDE w:val="0"/>
        <w:autoSpaceDN w:val="0"/>
        <w:adjustRightInd w:val="0"/>
        <w:snapToGrid w:val="0"/>
        <w:spacing w:after="156" w:afterLines="50" w:line="400" w:lineRule="exact"/>
        <w:ind w:left="1656" w:leftChars="104" w:hanging="1438" w:hangingChars="685"/>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1）不办理现金退保证金业务。</w:t>
      </w:r>
    </w:p>
    <w:p>
      <w:pPr>
        <w:tabs>
          <w:tab w:val="left" w:pos="1843"/>
        </w:tabs>
        <w:autoSpaceDE w:val="0"/>
        <w:autoSpaceDN w:val="0"/>
        <w:adjustRightInd w:val="0"/>
        <w:snapToGrid w:val="0"/>
        <w:spacing w:after="156" w:afterLines="50" w:line="400" w:lineRule="exact"/>
        <w:ind w:left="15" w:leftChars="7" w:firstLine="201" w:firstLineChars="96"/>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2）退款收据邮寄地址及联系方式：武</w:t>
      </w:r>
      <w:r>
        <w:rPr>
          <w:rFonts w:hint="eastAsia" w:asciiTheme="minorEastAsia" w:hAnsiTheme="minorEastAsia" w:eastAsiaTheme="minorEastAsia" w:cstheme="minorEastAsia"/>
          <w:color w:val="auto"/>
        </w:rPr>
        <w:t>汉市洪山区徐东大街97号龙潭SOMO A座16楼国信招标集团股份有限公司湖北分公司</w:t>
      </w:r>
      <w:r>
        <w:rPr>
          <w:rFonts w:hint="eastAsia" w:asciiTheme="minorEastAsia" w:hAnsiTheme="minorEastAsia" w:eastAsiaTheme="minorEastAsia" w:cstheme="minorEastAsia"/>
          <w:color w:val="auto"/>
          <w:kern w:val="0"/>
          <w:szCs w:val="21"/>
        </w:rPr>
        <w:t>，收件人及联系方式详询我司项目经理或见采购公告。</w:t>
      </w:r>
    </w:p>
    <w:p>
      <w:pPr>
        <w:tabs>
          <w:tab w:val="left" w:pos="1843"/>
        </w:tabs>
        <w:autoSpaceDE w:val="0"/>
        <w:autoSpaceDN w:val="0"/>
        <w:adjustRightInd w:val="0"/>
        <w:snapToGrid w:val="0"/>
        <w:spacing w:after="156" w:afterLines="50" w:line="400" w:lineRule="exact"/>
        <w:ind w:left="1655" w:hanging="1654" w:hangingChars="788"/>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（4）退款收据样式（收据缴款单位为：国信招标集团股份有限公司湖北分公司）</w:t>
      </w:r>
    </w:p>
    <w:p>
      <w:pPr>
        <w:rPr>
          <w:color w:val="auto"/>
        </w:rPr>
      </w:pPr>
      <w:r>
        <w:rPr>
          <w:rFonts w:hint="eastAsia"/>
          <w:color w:val="auto"/>
        </w:rPr>
        <w:drawing>
          <wp:inline distT="0" distB="0" distL="114300" distR="114300">
            <wp:extent cx="5647055" cy="2283460"/>
            <wp:effectExtent l="0" t="0" r="10795" b="2540"/>
            <wp:docPr id="9" name="图片 2" descr="微信图片_20210303105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微信图片_20210303105817"/>
                    <pic:cNvPicPr>
                      <a:picLocks noChangeAspect="1"/>
                    </pic:cNvPicPr>
                  </pic:nvPicPr>
                  <pic:blipFill>
                    <a:blip r:embed="rId13"/>
                    <a:stretch>
                      <a:fillRect/>
                    </a:stretch>
                  </pic:blipFill>
                  <pic:spPr>
                    <a:xfrm>
                      <a:off x="0" y="0"/>
                      <a:ext cx="5647055" cy="2283460"/>
                    </a:xfrm>
                    <a:prstGeom prst="rect">
                      <a:avLst/>
                    </a:prstGeom>
                    <a:noFill/>
                    <a:ln>
                      <a:noFill/>
                    </a:ln>
                  </pic:spPr>
                </pic:pic>
              </a:graphicData>
            </a:graphic>
          </wp:inline>
        </w:drawing>
      </w:r>
    </w:p>
    <w:p>
      <w:pPr>
        <w:numPr>
          <w:ilvl w:val="1"/>
          <w:numId w:val="2"/>
        </w:numPr>
        <w:tabs>
          <w:tab w:val="left" w:pos="1134"/>
        </w:tabs>
        <w:autoSpaceDE w:val="0"/>
        <w:autoSpaceDN w:val="0"/>
        <w:adjustRightInd w:val="0"/>
        <w:snapToGrid w:val="0"/>
        <w:spacing w:after="156" w:afterLines="50" w:line="400" w:lineRule="exact"/>
        <w:rPr>
          <w:rFonts w:ascii="宋体" w:hAnsi="宋体" w:cs="宋体"/>
          <w:color w:val="auto"/>
          <w:kern w:val="0"/>
          <w:szCs w:val="21"/>
        </w:rPr>
      </w:pPr>
      <w:bookmarkStart w:id="104" w:name="_Toc195921818"/>
      <w:r>
        <w:rPr>
          <w:rFonts w:hint="eastAsia" w:ascii="宋体" w:hAnsi="宋体" w:cs="宋体"/>
          <w:color w:val="auto"/>
          <w:kern w:val="0"/>
          <w:szCs w:val="21"/>
        </w:rPr>
        <w:t>响应文件的编制</w:t>
      </w:r>
      <w:bookmarkEnd w:id="104"/>
    </w:p>
    <w:p>
      <w:pPr>
        <w:numPr>
          <w:ilvl w:val="2"/>
          <w:numId w:val="2"/>
        </w:numPr>
        <w:tabs>
          <w:tab w:val="left" w:pos="1260"/>
        </w:tabs>
        <w:autoSpaceDE w:val="0"/>
        <w:autoSpaceDN w:val="0"/>
        <w:adjustRightInd w:val="0"/>
        <w:snapToGrid w:val="0"/>
        <w:spacing w:after="156" w:afterLines="50" w:line="400" w:lineRule="exact"/>
        <w:ind w:left="14" w:hanging="14"/>
        <w:rPr>
          <w:rFonts w:ascii="宋体" w:hAnsi="宋体" w:cs="宋体"/>
          <w:color w:val="auto"/>
          <w:kern w:val="0"/>
          <w:szCs w:val="21"/>
        </w:rPr>
      </w:pPr>
      <w:r>
        <w:rPr>
          <w:rFonts w:hint="eastAsia" w:ascii="宋体" w:hAnsi="宋体" w:cs="宋体"/>
          <w:color w:val="auto"/>
          <w:kern w:val="0"/>
          <w:szCs w:val="21"/>
        </w:rPr>
        <w:t>响应文件应按第六章“响应文件格式”进行编写，如有必要，可以增加附页，作为响应文件的组成部分。供应商可以提出比磋商文件要求更有利于采购人的承诺。</w:t>
      </w:r>
    </w:p>
    <w:p>
      <w:pPr>
        <w:tabs>
          <w:tab w:val="left" w:pos="1260"/>
        </w:tabs>
        <w:autoSpaceDE w:val="0"/>
        <w:autoSpaceDN w:val="0"/>
        <w:adjustRightInd w:val="0"/>
        <w:snapToGrid w:val="0"/>
        <w:spacing w:after="156" w:afterLines="50" w:line="400" w:lineRule="exact"/>
        <w:ind w:firstLine="420" w:firstLineChars="200"/>
        <w:rPr>
          <w:rFonts w:ascii="宋体" w:hAnsi="宋体" w:cs="宋体"/>
          <w:color w:val="auto"/>
          <w:kern w:val="0"/>
          <w:szCs w:val="21"/>
        </w:rPr>
      </w:pPr>
      <w:r>
        <w:rPr>
          <w:rFonts w:hint="eastAsia" w:ascii="宋体" w:hAnsi="宋体" w:cs="宋体"/>
          <w:color w:val="auto"/>
          <w:kern w:val="0"/>
          <w:szCs w:val="21"/>
        </w:rPr>
        <w:t>响应文件应当对磋商文件有关采购范围、服务期、响应文件有效期及磋商文件要求实质性内容作出响应。</w:t>
      </w:r>
    </w:p>
    <w:p>
      <w:pPr>
        <w:numPr>
          <w:ilvl w:val="2"/>
          <w:numId w:val="2"/>
        </w:numPr>
        <w:tabs>
          <w:tab w:val="left" w:pos="1260"/>
        </w:tabs>
        <w:autoSpaceDE w:val="0"/>
        <w:autoSpaceDN w:val="0"/>
        <w:adjustRightInd w:val="0"/>
        <w:snapToGrid w:val="0"/>
        <w:spacing w:after="156" w:afterLines="50" w:line="400" w:lineRule="exact"/>
        <w:ind w:left="14" w:hanging="14"/>
        <w:rPr>
          <w:rFonts w:ascii="宋体" w:hAnsi="宋体" w:cs="宋体"/>
          <w:color w:val="auto"/>
          <w:kern w:val="0"/>
          <w:szCs w:val="21"/>
        </w:rPr>
      </w:pPr>
      <w:bookmarkStart w:id="105" w:name="_Ref527102437"/>
      <w:r>
        <w:rPr>
          <w:rFonts w:hint="eastAsia" w:ascii="宋体" w:hAnsi="宋体" w:cs="宋体"/>
          <w:color w:val="auto"/>
          <w:kern w:val="0"/>
          <w:szCs w:val="21"/>
        </w:rPr>
        <w:t>响应文件正本需打印或用不褪色墨水书写，供应商的法定代表人或经授权的代表须根据磋商文件第六章的规定在响应文件中需要签字和（或）盖章的位置签字（或盖人名章）和（或）加盖单位公章。授权代表须持有书面的“法定代表人授权书”（格式附后），并将其附在响应文件中。</w:t>
      </w:r>
      <w:bookmarkEnd w:id="105"/>
    </w:p>
    <w:p>
      <w:pPr>
        <w:tabs>
          <w:tab w:val="left" w:pos="1260"/>
        </w:tabs>
        <w:autoSpaceDE w:val="0"/>
        <w:autoSpaceDN w:val="0"/>
        <w:adjustRightInd w:val="0"/>
        <w:snapToGrid w:val="0"/>
        <w:spacing w:after="156" w:afterLines="50" w:line="400" w:lineRule="exact"/>
        <w:ind w:firstLine="420" w:firstLineChars="200"/>
        <w:rPr>
          <w:rFonts w:ascii="宋体" w:hAnsi="宋体" w:cs="宋体"/>
          <w:color w:val="auto"/>
          <w:kern w:val="0"/>
          <w:szCs w:val="21"/>
        </w:rPr>
      </w:pPr>
      <w:r>
        <w:rPr>
          <w:rFonts w:hint="eastAsia" w:ascii="宋体" w:hAnsi="宋体" w:cs="宋体"/>
          <w:color w:val="auto"/>
          <w:kern w:val="0"/>
          <w:szCs w:val="21"/>
        </w:rPr>
        <w:t>首次响应文件递交截止时间前，如对首次响应文件进行了修改，包括在响应文件行间插字、涂改和增删，均应由供应商的法定代表人或经授权的代表在修改的每一页上签字。</w:t>
      </w:r>
    </w:p>
    <w:p>
      <w:pPr>
        <w:tabs>
          <w:tab w:val="left" w:pos="1260"/>
        </w:tabs>
        <w:autoSpaceDE w:val="0"/>
        <w:autoSpaceDN w:val="0"/>
        <w:adjustRightInd w:val="0"/>
        <w:snapToGrid w:val="0"/>
        <w:spacing w:after="156" w:afterLines="50" w:line="400" w:lineRule="exact"/>
        <w:ind w:firstLine="420" w:firstLineChars="200"/>
        <w:rPr>
          <w:rFonts w:ascii="宋体" w:hAnsi="宋体" w:cs="宋体"/>
          <w:color w:val="auto"/>
          <w:kern w:val="0"/>
          <w:szCs w:val="21"/>
        </w:rPr>
      </w:pPr>
      <w:r>
        <w:rPr>
          <w:rFonts w:hint="eastAsia" w:ascii="宋体" w:hAnsi="宋体" w:cs="宋体"/>
          <w:color w:val="auto"/>
          <w:kern w:val="0"/>
          <w:szCs w:val="21"/>
        </w:rPr>
        <w:t>响应文件的副本可采用正本的复印件。</w:t>
      </w:r>
    </w:p>
    <w:p>
      <w:pPr>
        <w:numPr>
          <w:ilvl w:val="2"/>
          <w:numId w:val="2"/>
        </w:numPr>
        <w:tabs>
          <w:tab w:val="left" w:pos="1260"/>
        </w:tabs>
        <w:autoSpaceDE w:val="0"/>
        <w:autoSpaceDN w:val="0"/>
        <w:adjustRightInd w:val="0"/>
        <w:snapToGrid w:val="0"/>
        <w:spacing w:after="156" w:afterLines="50" w:line="400" w:lineRule="exact"/>
        <w:ind w:left="14" w:hanging="14"/>
        <w:rPr>
          <w:rFonts w:ascii="宋体" w:hAnsi="宋体" w:cs="宋体"/>
          <w:color w:val="auto"/>
          <w:kern w:val="0"/>
          <w:szCs w:val="21"/>
        </w:rPr>
      </w:pPr>
      <w:r>
        <w:rPr>
          <w:rFonts w:hint="eastAsia" w:ascii="宋体" w:hAnsi="宋体" w:cs="宋体"/>
          <w:color w:val="auto"/>
          <w:kern w:val="0"/>
          <w:szCs w:val="21"/>
        </w:rPr>
        <w:t>响应文件正本一份，副本份数及电子文档要求见供应商须知前附表。正本和副本的封面上应清楚地标记“正本”或“副本”的字样。当副本和正本不一致时，以正本为准。</w:t>
      </w:r>
    </w:p>
    <w:p>
      <w:pPr>
        <w:numPr>
          <w:ilvl w:val="2"/>
          <w:numId w:val="2"/>
        </w:numPr>
        <w:tabs>
          <w:tab w:val="left" w:pos="1260"/>
        </w:tabs>
        <w:autoSpaceDE w:val="0"/>
        <w:autoSpaceDN w:val="0"/>
        <w:adjustRightInd w:val="0"/>
        <w:snapToGrid w:val="0"/>
        <w:spacing w:after="156" w:afterLines="50" w:line="400" w:lineRule="exact"/>
        <w:ind w:left="14" w:hanging="14"/>
        <w:rPr>
          <w:rFonts w:ascii="宋体" w:hAnsi="宋体" w:cs="宋体"/>
          <w:color w:val="auto"/>
          <w:kern w:val="0"/>
          <w:szCs w:val="21"/>
        </w:rPr>
      </w:pPr>
      <w:bookmarkStart w:id="106" w:name="_Ref527102466"/>
      <w:r>
        <w:rPr>
          <w:rFonts w:hint="eastAsia" w:ascii="宋体" w:hAnsi="宋体" w:cs="宋体"/>
          <w:color w:val="auto"/>
          <w:kern w:val="0"/>
          <w:szCs w:val="21"/>
        </w:rPr>
        <w:t>响应文件的正本与副本应分别装订成册，并编制目录，具体分册及装订要求见供应商须知前附表规定。</w:t>
      </w:r>
      <w:bookmarkEnd w:id="106"/>
    </w:p>
    <w:p>
      <w:pPr>
        <w:numPr>
          <w:ilvl w:val="0"/>
          <w:numId w:val="2"/>
        </w:numPr>
        <w:tabs>
          <w:tab w:val="left" w:pos="1134"/>
        </w:tabs>
        <w:autoSpaceDE w:val="0"/>
        <w:autoSpaceDN w:val="0"/>
        <w:adjustRightInd w:val="0"/>
        <w:spacing w:after="156" w:afterLines="50" w:line="400" w:lineRule="exact"/>
        <w:outlineLvl w:val="2"/>
        <w:rPr>
          <w:rFonts w:ascii="宋体" w:hAnsi="宋体" w:cs="宋体"/>
          <w:color w:val="auto"/>
          <w:kern w:val="0"/>
          <w:szCs w:val="21"/>
        </w:rPr>
      </w:pPr>
      <w:bookmarkStart w:id="107" w:name="_Toc195921819"/>
      <w:bookmarkStart w:id="108" w:name="_Toc4433562"/>
      <w:bookmarkStart w:id="109" w:name="_Toc3220171"/>
      <w:r>
        <w:rPr>
          <w:rFonts w:hint="eastAsia" w:ascii="宋体" w:hAnsi="宋体" w:cs="宋体"/>
          <w:color w:val="auto"/>
          <w:kern w:val="0"/>
          <w:szCs w:val="21"/>
        </w:rPr>
        <w:t>响应文件</w:t>
      </w:r>
      <w:bookmarkEnd w:id="107"/>
      <w:r>
        <w:rPr>
          <w:rFonts w:hint="eastAsia" w:ascii="宋体" w:hAnsi="宋体" w:cs="宋体"/>
          <w:color w:val="auto"/>
          <w:kern w:val="0"/>
          <w:szCs w:val="21"/>
        </w:rPr>
        <w:t>提交</w:t>
      </w:r>
      <w:bookmarkEnd w:id="108"/>
      <w:bookmarkEnd w:id="109"/>
    </w:p>
    <w:p>
      <w:pPr>
        <w:numPr>
          <w:ilvl w:val="1"/>
          <w:numId w:val="2"/>
        </w:numPr>
        <w:tabs>
          <w:tab w:val="left" w:pos="1134"/>
        </w:tabs>
        <w:autoSpaceDE w:val="0"/>
        <w:autoSpaceDN w:val="0"/>
        <w:adjustRightInd w:val="0"/>
        <w:snapToGrid w:val="0"/>
        <w:spacing w:after="156" w:afterLines="50" w:line="400" w:lineRule="exact"/>
        <w:rPr>
          <w:rFonts w:ascii="宋体" w:hAnsi="宋体" w:cs="宋体"/>
          <w:color w:val="auto"/>
          <w:kern w:val="0"/>
          <w:szCs w:val="21"/>
        </w:rPr>
      </w:pPr>
      <w:bookmarkStart w:id="110" w:name="_Toc195921820"/>
      <w:r>
        <w:rPr>
          <w:rFonts w:hint="eastAsia" w:ascii="宋体" w:hAnsi="宋体" w:cs="宋体"/>
          <w:color w:val="auto"/>
          <w:kern w:val="0"/>
          <w:szCs w:val="21"/>
        </w:rPr>
        <w:t>响应文件的</w:t>
      </w:r>
      <w:bookmarkEnd w:id="110"/>
      <w:r>
        <w:rPr>
          <w:rFonts w:hint="eastAsia" w:ascii="宋体" w:hAnsi="宋体" w:cs="宋体"/>
          <w:color w:val="auto"/>
          <w:kern w:val="0"/>
          <w:szCs w:val="21"/>
        </w:rPr>
        <w:t>密封和标记</w:t>
      </w:r>
    </w:p>
    <w:p>
      <w:pPr>
        <w:numPr>
          <w:ilvl w:val="2"/>
          <w:numId w:val="2"/>
        </w:numPr>
        <w:tabs>
          <w:tab w:val="left" w:pos="1260"/>
        </w:tabs>
        <w:autoSpaceDE w:val="0"/>
        <w:autoSpaceDN w:val="0"/>
        <w:adjustRightInd w:val="0"/>
        <w:snapToGrid w:val="0"/>
        <w:spacing w:after="156" w:afterLines="50" w:line="400" w:lineRule="exact"/>
        <w:ind w:left="14" w:hanging="14"/>
        <w:rPr>
          <w:rFonts w:ascii="宋体" w:hAnsi="宋体" w:cs="宋体"/>
          <w:color w:val="auto"/>
          <w:kern w:val="0"/>
          <w:szCs w:val="21"/>
        </w:rPr>
      </w:pPr>
      <w:bookmarkStart w:id="111" w:name="_Ref421008478"/>
      <w:r>
        <w:rPr>
          <w:rFonts w:hint="eastAsia" w:ascii="宋体" w:hAnsi="宋体" w:cs="宋体"/>
          <w:color w:val="auto"/>
          <w:kern w:val="0"/>
          <w:szCs w:val="21"/>
        </w:rPr>
        <w:t>供应商递交的响应文件，应按照标包分别加以密封。密封方式为在响应文件外包装封口处加盖公章或“密封章”。</w:t>
      </w:r>
    </w:p>
    <w:p>
      <w:pPr>
        <w:numPr>
          <w:ilvl w:val="2"/>
          <w:numId w:val="2"/>
        </w:numPr>
        <w:tabs>
          <w:tab w:val="left" w:pos="1134"/>
          <w:tab w:val="left" w:pos="1260"/>
        </w:tabs>
        <w:autoSpaceDE w:val="0"/>
        <w:autoSpaceDN w:val="0"/>
        <w:adjustRightInd w:val="0"/>
        <w:snapToGrid w:val="0"/>
        <w:spacing w:after="156" w:afterLines="50" w:line="400" w:lineRule="exact"/>
        <w:rPr>
          <w:rFonts w:ascii="宋体" w:hAnsi="宋体" w:cs="宋体"/>
          <w:color w:val="auto"/>
          <w:kern w:val="0"/>
          <w:szCs w:val="21"/>
        </w:rPr>
      </w:pPr>
      <w:bookmarkStart w:id="112" w:name="_Ref527102501"/>
      <w:r>
        <w:rPr>
          <w:rFonts w:hint="eastAsia" w:ascii="宋体" w:hAnsi="宋体" w:cs="宋体"/>
          <w:color w:val="auto"/>
          <w:kern w:val="0"/>
          <w:szCs w:val="21"/>
        </w:rPr>
        <w:t>响应文件的封套上应标识的其他内容见供应商须知前附表。</w:t>
      </w:r>
      <w:bookmarkEnd w:id="111"/>
      <w:bookmarkEnd w:id="112"/>
    </w:p>
    <w:p>
      <w:pPr>
        <w:numPr>
          <w:ilvl w:val="2"/>
          <w:numId w:val="2"/>
        </w:numPr>
        <w:tabs>
          <w:tab w:val="left" w:pos="1134"/>
          <w:tab w:val="left" w:pos="1260"/>
        </w:tabs>
        <w:autoSpaceDE w:val="0"/>
        <w:autoSpaceDN w:val="0"/>
        <w:adjustRightInd w:val="0"/>
        <w:snapToGrid w:val="0"/>
        <w:spacing w:after="156" w:afterLines="50" w:line="400" w:lineRule="exact"/>
        <w:rPr>
          <w:rFonts w:ascii="宋体" w:hAnsi="宋体" w:cs="宋体"/>
          <w:color w:val="auto"/>
          <w:kern w:val="0"/>
          <w:szCs w:val="21"/>
        </w:rPr>
      </w:pPr>
      <w:r>
        <w:rPr>
          <w:rFonts w:hint="eastAsia" w:ascii="宋体" w:hAnsi="宋体" w:cs="宋体"/>
          <w:color w:val="auto"/>
          <w:kern w:val="0"/>
          <w:szCs w:val="21"/>
        </w:rPr>
        <w:t>未按本章第</w:t>
      </w:r>
      <w:r>
        <w:rPr>
          <w:rFonts w:hint="eastAsia" w:ascii="宋体" w:hAnsi="宋体" w:cs="宋体"/>
          <w:color w:val="auto"/>
        </w:rPr>
        <w:fldChar w:fldCharType="begin"/>
      </w:r>
      <w:r>
        <w:rPr>
          <w:rFonts w:hint="eastAsia" w:ascii="宋体" w:hAnsi="宋体" w:cs="宋体"/>
          <w:color w:val="auto"/>
        </w:rPr>
        <w:instrText xml:space="preserve"> REF _Ref421008478 \r \h  \* MERGEFORMAT </w:instrText>
      </w:r>
      <w:r>
        <w:rPr>
          <w:rFonts w:hint="eastAsia" w:ascii="宋体" w:hAnsi="宋体" w:cs="宋体"/>
          <w:color w:val="auto"/>
        </w:rPr>
        <w:fldChar w:fldCharType="separate"/>
      </w:r>
      <w:r>
        <w:rPr>
          <w:rFonts w:hint="eastAsia" w:ascii="宋体" w:hAnsi="宋体" w:cs="宋体"/>
          <w:color w:val="auto"/>
          <w:kern w:val="0"/>
          <w:szCs w:val="21"/>
        </w:rPr>
        <w:t>4.1.1</w:t>
      </w:r>
      <w:r>
        <w:rPr>
          <w:rFonts w:hint="eastAsia" w:ascii="宋体" w:hAnsi="宋体" w:cs="宋体"/>
          <w:color w:val="auto"/>
        </w:rPr>
        <w:fldChar w:fldCharType="end"/>
      </w:r>
      <w:r>
        <w:rPr>
          <w:rFonts w:hint="eastAsia" w:ascii="宋体" w:hAnsi="宋体" w:cs="宋体"/>
          <w:color w:val="auto"/>
          <w:kern w:val="0"/>
          <w:szCs w:val="21"/>
        </w:rPr>
        <w:t>项、第</w:t>
      </w:r>
      <w:r>
        <w:rPr>
          <w:rFonts w:hint="eastAsia" w:ascii="宋体" w:hAnsi="宋体" w:cs="宋体"/>
          <w:color w:val="auto"/>
        </w:rPr>
        <w:fldChar w:fldCharType="begin"/>
      </w:r>
      <w:r>
        <w:rPr>
          <w:rFonts w:hint="eastAsia" w:ascii="宋体" w:hAnsi="宋体" w:cs="宋体"/>
          <w:color w:val="auto"/>
        </w:rPr>
        <w:instrText xml:space="preserve"> REF _Ref421008478 \r \h  \* MERGEFORMAT </w:instrText>
      </w:r>
      <w:r>
        <w:rPr>
          <w:rFonts w:hint="eastAsia" w:ascii="宋体" w:hAnsi="宋体" w:cs="宋体"/>
          <w:color w:val="auto"/>
        </w:rPr>
        <w:fldChar w:fldCharType="separate"/>
      </w:r>
      <w:r>
        <w:rPr>
          <w:rFonts w:hint="eastAsia" w:ascii="宋体" w:hAnsi="宋体" w:cs="宋体"/>
          <w:color w:val="auto"/>
          <w:kern w:val="0"/>
          <w:szCs w:val="21"/>
        </w:rPr>
        <w:t>4.1.1</w:t>
      </w:r>
      <w:r>
        <w:rPr>
          <w:rFonts w:hint="eastAsia" w:ascii="宋体" w:hAnsi="宋体" w:cs="宋体"/>
          <w:color w:val="auto"/>
        </w:rPr>
        <w:fldChar w:fldCharType="end"/>
      </w:r>
      <w:r>
        <w:rPr>
          <w:rFonts w:hint="eastAsia" w:ascii="宋体" w:hAnsi="宋体" w:cs="宋体"/>
          <w:color w:val="auto"/>
          <w:kern w:val="0"/>
          <w:szCs w:val="21"/>
        </w:rPr>
        <w:t>项要求密封并加写标识的响应文件，采购人不予受理。</w:t>
      </w:r>
    </w:p>
    <w:p>
      <w:pPr>
        <w:numPr>
          <w:ilvl w:val="1"/>
          <w:numId w:val="2"/>
        </w:numPr>
        <w:tabs>
          <w:tab w:val="left" w:pos="1134"/>
        </w:tabs>
        <w:autoSpaceDE w:val="0"/>
        <w:autoSpaceDN w:val="0"/>
        <w:adjustRightInd w:val="0"/>
        <w:snapToGrid w:val="0"/>
        <w:spacing w:after="156" w:afterLines="50" w:line="400" w:lineRule="exact"/>
        <w:rPr>
          <w:rFonts w:ascii="宋体" w:hAnsi="宋体" w:cs="宋体"/>
          <w:color w:val="auto"/>
          <w:kern w:val="0"/>
          <w:szCs w:val="21"/>
        </w:rPr>
      </w:pPr>
      <w:bookmarkStart w:id="113" w:name="_Toc195921821"/>
      <w:r>
        <w:rPr>
          <w:rFonts w:hint="eastAsia" w:ascii="宋体" w:hAnsi="宋体" w:cs="宋体"/>
          <w:color w:val="auto"/>
          <w:kern w:val="0"/>
          <w:szCs w:val="21"/>
        </w:rPr>
        <w:t>首次响应文件的递交</w:t>
      </w:r>
      <w:bookmarkEnd w:id="113"/>
    </w:p>
    <w:p>
      <w:pPr>
        <w:numPr>
          <w:ilvl w:val="2"/>
          <w:numId w:val="2"/>
        </w:numPr>
        <w:tabs>
          <w:tab w:val="left" w:pos="1260"/>
        </w:tabs>
        <w:autoSpaceDE w:val="0"/>
        <w:autoSpaceDN w:val="0"/>
        <w:adjustRightInd w:val="0"/>
        <w:snapToGrid w:val="0"/>
        <w:spacing w:after="156" w:afterLines="50" w:line="400" w:lineRule="exact"/>
        <w:ind w:left="14" w:hanging="14"/>
        <w:rPr>
          <w:rFonts w:ascii="宋体" w:hAnsi="宋体" w:cs="宋体"/>
          <w:color w:val="auto"/>
          <w:kern w:val="0"/>
          <w:szCs w:val="21"/>
        </w:rPr>
      </w:pPr>
      <w:r>
        <w:rPr>
          <w:rFonts w:hint="eastAsia" w:ascii="宋体" w:hAnsi="宋体" w:cs="宋体"/>
          <w:color w:val="auto"/>
          <w:kern w:val="0"/>
          <w:szCs w:val="21"/>
        </w:rPr>
        <w:t>供应商应在竞争性磋商公告</w:t>
      </w:r>
      <w:r>
        <w:rPr>
          <w:rFonts w:hint="eastAsia" w:ascii="宋体" w:hAnsi="宋体" w:cs="宋体"/>
          <w:color w:val="auto"/>
          <w:szCs w:val="21"/>
        </w:rPr>
        <w:t>或磋商邀请书</w:t>
      </w:r>
      <w:r>
        <w:rPr>
          <w:rFonts w:hint="eastAsia" w:ascii="宋体" w:hAnsi="宋体" w:cs="宋体"/>
          <w:color w:val="auto"/>
          <w:kern w:val="0"/>
          <w:szCs w:val="21"/>
        </w:rPr>
        <w:t>规定的递交响应文件截止时间前递交首次响应文件。如有变化，见澄清修改文件。</w:t>
      </w:r>
    </w:p>
    <w:p>
      <w:pPr>
        <w:numPr>
          <w:ilvl w:val="2"/>
          <w:numId w:val="2"/>
        </w:numPr>
        <w:tabs>
          <w:tab w:val="left" w:pos="0"/>
          <w:tab w:val="left" w:pos="1260"/>
        </w:tabs>
        <w:autoSpaceDE w:val="0"/>
        <w:autoSpaceDN w:val="0"/>
        <w:adjustRightInd w:val="0"/>
        <w:snapToGrid w:val="0"/>
        <w:spacing w:after="156" w:afterLines="50" w:line="400" w:lineRule="exact"/>
        <w:ind w:left="14" w:hanging="14"/>
        <w:rPr>
          <w:rFonts w:ascii="宋体" w:hAnsi="宋体" w:cs="宋体"/>
          <w:color w:val="auto"/>
          <w:kern w:val="0"/>
          <w:szCs w:val="21"/>
        </w:rPr>
      </w:pPr>
      <w:r>
        <w:rPr>
          <w:rFonts w:hint="eastAsia" w:ascii="宋体" w:hAnsi="宋体" w:cs="宋体"/>
          <w:color w:val="auto"/>
          <w:kern w:val="0"/>
          <w:szCs w:val="21"/>
        </w:rPr>
        <w:t>供应商递交首次响应文件的地点：见竞争性磋商公告</w:t>
      </w:r>
      <w:r>
        <w:rPr>
          <w:rFonts w:hint="eastAsia" w:ascii="宋体" w:hAnsi="宋体" w:cs="宋体"/>
          <w:color w:val="auto"/>
          <w:szCs w:val="21"/>
        </w:rPr>
        <w:t>或磋商邀请书</w:t>
      </w:r>
      <w:r>
        <w:rPr>
          <w:rFonts w:hint="eastAsia" w:ascii="宋体" w:hAnsi="宋体" w:cs="宋体"/>
          <w:color w:val="auto"/>
          <w:kern w:val="0"/>
          <w:szCs w:val="21"/>
        </w:rPr>
        <w:t>。如有变化，见澄清修改文件。</w:t>
      </w:r>
    </w:p>
    <w:p>
      <w:pPr>
        <w:numPr>
          <w:ilvl w:val="2"/>
          <w:numId w:val="2"/>
        </w:numPr>
        <w:tabs>
          <w:tab w:val="left" w:pos="0"/>
        </w:tabs>
        <w:autoSpaceDE w:val="0"/>
        <w:autoSpaceDN w:val="0"/>
        <w:adjustRightInd w:val="0"/>
        <w:snapToGrid w:val="0"/>
        <w:spacing w:after="156" w:afterLines="50" w:line="400" w:lineRule="exact"/>
        <w:ind w:left="14" w:hanging="14"/>
        <w:rPr>
          <w:rFonts w:ascii="宋体" w:hAnsi="宋体" w:cs="宋体"/>
          <w:color w:val="auto"/>
          <w:kern w:val="0"/>
          <w:szCs w:val="21"/>
        </w:rPr>
      </w:pPr>
      <w:r>
        <w:rPr>
          <w:rFonts w:hint="eastAsia" w:ascii="宋体" w:hAnsi="宋体" w:cs="宋体"/>
          <w:color w:val="auto"/>
          <w:kern w:val="0"/>
          <w:szCs w:val="21"/>
        </w:rPr>
        <w:t>除因供应商家数不满足要求未进行磋商的情形外，供应商所递交的响应文件不予退还。</w:t>
      </w:r>
    </w:p>
    <w:p>
      <w:pPr>
        <w:numPr>
          <w:ilvl w:val="2"/>
          <w:numId w:val="2"/>
        </w:numPr>
        <w:tabs>
          <w:tab w:val="left" w:pos="1134"/>
          <w:tab w:val="left" w:pos="1260"/>
        </w:tabs>
        <w:autoSpaceDE w:val="0"/>
        <w:autoSpaceDN w:val="0"/>
        <w:adjustRightInd w:val="0"/>
        <w:snapToGrid w:val="0"/>
        <w:spacing w:after="156" w:afterLines="50" w:line="400" w:lineRule="exact"/>
        <w:rPr>
          <w:rFonts w:ascii="宋体" w:hAnsi="宋体" w:cs="宋体"/>
          <w:color w:val="auto"/>
          <w:kern w:val="0"/>
          <w:szCs w:val="21"/>
        </w:rPr>
      </w:pPr>
      <w:r>
        <w:rPr>
          <w:rFonts w:hint="eastAsia" w:ascii="宋体" w:hAnsi="宋体" w:cs="宋体"/>
          <w:color w:val="auto"/>
          <w:szCs w:val="21"/>
        </w:rPr>
        <w:t>逾期送达、</w:t>
      </w:r>
      <w:r>
        <w:rPr>
          <w:rFonts w:hint="eastAsia" w:ascii="宋体" w:hAnsi="宋体" w:cs="宋体"/>
          <w:color w:val="auto"/>
          <w:kern w:val="0"/>
          <w:szCs w:val="21"/>
        </w:rPr>
        <w:t>未送达指定地点</w:t>
      </w:r>
      <w:r>
        <w:rPr>
          <w:rFonts w:hint="eastAsia" w:ascii="宋体" w:hAnsi="宋体" w:cs="宋体"/>
          <w:color w:val="auto"/>
          <w:szCs w:val="21"/>
        </w:rPr>
        <w:t>的响应文件</w:t>
      </w:r>
      <w:r>
        <w:rPr>
          <w:rFonts w:hint="eastAsia" w:ascii="宋体" w:hAnsi="宋体" w:cs="宋体"/>
          <w:color w:val="auto"/>
          <w:kern w:val="0"/>
          <w:szCs w:val="21"/>
        </w:rPr>
        <w:t>，采购人不予受理。</w:t>
      </w:r>
    </w:p>
    <w:p>
      <w:pPr>
        <w:numPr>
          <w:ilvl w:val="1"/>
          <w:numId w:val="2"/>
        </w:numPr>
        <w:tabs>
          <w:tab w:val="left" w:pos="1134"/>
        </w:tabs>
        <w:autoSpaceDE w:val="0"/>
        <w:autoSpaceDN w:val="0"/>
        <w:adjustRightInd w:val="0"/>
        <w:snapToGrid w:val="0"/>
        <w:spacing w:after="156" w:afterLines="50" w:line="400" w:lineRule="exact"/>
        <w:rPr>
          <w:rFonts w:ascii="宋体" w:hAnsi="宋体" w:cs="宋体"/>
          <w:color w:val="auto"/>
          <w:kern w:val="0"/>
          <w:szCs w:val="21"/>
        </w:rPr>
      </w:pPr>
      <w:bookmarkStart w:id="114" w:name="_Toc195921822"/>
      <w:r>
        <w:rPr>
          <w:rFonts w:hint="eastAsia" w:ascii="宋体" w:hAnsi="宋体" w:cs="宋体"/>
          <w:color w:val="auto"/>
          <w:kern w:val="0"/>
          <w:szCs w:val="21"/>
        </w:rPr>
        <w:t>响应文件的修改与撤回</w:t>
      </w:r>
      <w:bookmarkEnd w:id="114"/>
    </w:p>
    <w:p>
      <w:pPr>
        <w:numPr>
          <w:ilvl w:val="2"/>
          <w:numId w:val="2"/>
        </w:numPr>
        <w:tabs>
          <w:tab w:val="left" w:pos="1260"/>
        </w:tabs>
        <w:autoSpaceDE w:val="0"/>
        <w:autoSpaceDN w:val="0"/>
        <w:adjustRightInd w:val="0"/>
        <w:snapToGrid w:val="0"/>
        <w:spacing w:after="156" w:afterLines="50" w:line="400" w:lineRule="exact"/>
        <w:ind w:left="14" w:hanging="14"/>
        <w:rPr>
          <w:rFonts w:ascii="宋体" w:hAnsi="宋体" w:cs="宋体"/>
          <w:color w:val="auto"/>
          <w:kern w:val="0"/>
          <w:szCs w:val="21"/>
        </w:rPr>
      </w:pPr>
      <w:r>
        <w:rPr>
          <w:rFonts w:hint="eastAsia" w:ascii="宋体" w:hAnsi="宋体" w:cs="宋体"/>
          <w:color w:val="auto"/>
          <w:kern w:val="0"/>
          <w:szCs w:val="21"/>
        </w:rPr>
        <w:t>在竞争性磋商公告</w:t>
      </w:r>
      <w:r>
        <w:rPr>
          <w:rFonts w:hint="eastAsia" w:ascii="宋体" w:hAnsi="宋体" w:cs="宋体"/>
          <w:color w:val="auto"/>
          <w:szCs w:val="21"/>
        </w:rPr>
        <w:t>或磋商邀请书</w:t>
      </w:r>
      <w:r>
        <w:rPr>
          <w:rFonts w:hint="eastAsia" w:ascii="宋体" w:hAnsi="宋体" w:cs="宋体"/>
          <w:color w:val="auto"/>
          <w:kern w:val="0"/>
          <w:szCs w:val="21"/>
        </w:rPr>
        <w:t>规定的首次响应文件递交截止时间前，供应商可以修改或撤回已递交的首次响应文件，但应以书面形式通知采购人。</w:t>
      </w:r>
    </w:p>
    <w:p>
      <w:pPr>
        <w:numPr>
          <w:ilvl w:val="2"/>
          <w:numId w:val="2"/>
        </w:numPr>
        <w:tabs>
          <w:tab w:val="left" w:pos="1260"/>
        </w:tabs>
        <w:autoSpaceDE w:val="0"/>
        <w:autoSpaceDN w:val="0"/>
        <w:adjustRightInd w:val="0"/>
        <w:snapToGrid w:val="0"/>
        <w:spacing w:after="156" w:afterLines="50" w:line="400" w:lineRule="exact"/>
        <w:ind w:left="14" w:hanging="14"/>
        <w:rPr>
          <w:rFonts w:ascii="宋体" w:hAnsi="宋体" w:cs="宋体"/>
          <w:color w:val="auto"/>
          <w:kern w:val="0"/>
          <w:szCs w:val="21"/>
        </w:rPr>
      </w:pPr>
      <w:r>
        <w:rPr>
          <w:rFonts w:hint="eastAsia" w:ascii="宋体" w:hAnsi="宋体" w:cs="宋体"/>
          <w:color w:val="auto"/>
          <w:kern w:val="0"/>
          <w:szCs w:val="21"/>
        </w:rPr>
        <w:t>修改的内容为首次响应文件的组成部分。修改的首次响应文件应按照本章第3条、第4条规定进行编制、标记和递交，并标明“修改”字样。</w:t>
      </w:r>
    </w:p>
    <w:p>
      <w:pPr>
        <w:numPr>
          <w:ilvl w:val="0"/>
          <w:numId w:val="2"/>
        </w:numPr>
        <w:tabs>
          <w:tab w:val="left" w:pos="1134"/>
        </w:tabs>
        <w:autoSpaceDE w:val="0"/>
        <w:autoSpaceDN w:val="0"/>
        <w:adjustRightInd w:val="0"/>
        <w:spacing w:after="156" w:afterLines="50" w:line="400" w:lineRule="exact"/>
        <w:outlineLvl w:val="2"/>
        <w:rPr>
          <w:rFonts w:ascii="宋体" w:hAnsi="宋体" w:cs="宋体"/>
          <w:color w:val="auto"/>
          <w:kern w:val="0"/>
          <w:szCs w:val="21"/>
        </w:rPr>
      </w:pPr>
      <w:bookmarkStart w:id="115" w:name="_Toc3220172"/>
      <w:bookmarkStart w:id="116" w:name="_Toc4433563"/>
      <w:r>
        <w:rPr>
          <w:rFonts w:hint="eastAsia" w:ascii="宋体" w:hAnsi="宋体" w:cs="宋体"/>
          <w:color w:val="auto"/>
          <w:kern w:val="0"/>
          <w:szCs w:val="21"/>
        </w:rPr>
        <w:t>评审与磋商</w:t>
      </w:r>
      <w:bookmarkEnd w:id="115"/>
      <w:bookmarkEnd w:id="116"/>
    </w:p>
    <w:p>
      <w:pPr>
        <w:numPr>
          <w:ilvl w:val="1"/>
          <w:numId w:val="2"/>
        </w:numPr>
        <w:tabs>
          <w:tab w:val="left" w:pos="1134"/>
        </w:tabs>
        <w:autoSpaceDE w:val="0"/>
        <w:autoSpaceDN w:val="0"/>
        <w:adjustRightInd w:val="0"/>
        <w:snapToGrid w:val="0"/>
        <w:spacing w:after="156" w:afterLines="50" w:line="400" w:lineRule="exact"/>
        <w:rPr>
          <w:rFonts w:ascii="宋体" w:hAnsi="宋体" w:cs="宋体"/>
          <w:color w:val="auto"/>
          <w:kern w:val="0"/>
          <w:szCs w:val="21"/>
        </w:rPr>
      </w:pPr>
      <w:r>
        <w:rPr>
          <w:rFonts w:hint="eastAsia" w:ascii="宋体" w:hAnsi="宋体" w:cs="宋体"/>
          <w:color w:val="auto"/>
          <w:kern w:val="0"/>
          <w:szCs w:val="21"/>
        </w:rPr>
        <w:t>磋商小组</w:t>
      </w:r>
    </w:p>
    <w:p>
      <w:pPr>
        <w:numPr>
          <w:ilvl w:val="2"/>
          <w:numId w:val="2"/>
        </w:numPr>
        <w:tabs>
          <w:tab w:val="left" w:pos="1134"/>
          <w:tab w:val="left" w:pos="1260"/>
        </w:tabs>
        <w:autoSpaceDE w:val="0"/>
        <w:autoSpaceDN w:val="0"/>
        <w:adjustRightInd w:val="0"/>
        <w:snapToGrid w:val="0"/>
        <w:spacing w:line="400" w:lineRule="exact"/>
        <w:ind w:left="0" w:firstLine="0"/>
        <w:rPr>
          <w:rFonts w:ascii="宋体" w:hAnsi="宋体" w:cs="宋体"/>
          <w:color w:val="auto"/>
          <w:kern w:val="0"/>
          <w:szCs w:val="21"/>
        </w:rPr>
      </w:pPr>
      <w:bookmarkStart w:id="117" w:name="_Ref527102573"/>
      <w:r>
        <w:rPr>
          <w:rFonts w:hint="eastAsia" w:ascii="宋体" w:hAnsi="宋体" w:cs="宋体"/>
          <w:color w:val="auto"/>
          <w:kern w:val="0"/>
          <w:szCs w:val="21"/>
        </w:rPr>
        <w:t>竞争性磋商小组由采购人代表和评审专家组成，采购人代表和评审专家人数见供应商须知前附表。</w:t>
      </w:r>
      <w:bookmarkEnd w:id="117"/>
    </w:p>
    <w:p>
      <w:pPr>
        <w:numPr>
          <w:ilvl w:val="2"/>
          <w:numId w:val="2"/>
        </w:numPr>
        <w:tabs>
          <w:tab w:val="left" w:pos="1134"/>
          <w:tab w:val="left" w:pos="1260"/>
        </w:tabs>
        <w:autoSpaceDE w:val="0"/>
        <w:autoSpaceDN w:val="0"/>
        <w:adjustRightInd w:val="0"/>
        <w:snapToGrid w:val="0"/>
        <w:spacing w:after="156" w:afterLines="50" w:line="400" w:lineRule="exact"/>
        <w:rPr>
          <w:rFonts w:ascii="宋体" w:hAnsi="宋体" w:cs="宋体"/>
          <w:color w:val="auto"/>
          <w:kern w:val="0"/>
          <w:szCs w:val="21"/>
        </w:rPr>
      </w:pPr>
      <w:r>
        <w:rPr>
          <w:rFonts w:hint="eastAsia" w:ascii="宋体" w:hAnsi="宋体" w:cs="宋体"/>
          <w:color w:val="auto"/>
          <w:kern w:val="0"/>
          <w:szCs w:val="21"/>
        </w:rPr>
        <w:t>磋商小组成员有下列情形之一的，应当回避：</w:t>
      </w:r>
    </w:p>
    <w:p>
      <w:pPr>
        <w:pStyle w:val="40"/>
        <w:numPr>
          <w:ilvl w:val="0"/>
          <w:numId w:val="7"/>
        </w:numPr>
        <w:snapToGrid w:val="0"/>
        <w:spacing w:after="156" w:afterLines="50" w:line="400" w:lineRule="exact"/>
        <w:ind w:hanging="1554"/>
        <w:rPr>
          <w:rFonts w:hAnsi="宋体" w:cs="宋体"/>
          <w:color w:val="auto"/>
        </w:rPr>
      </w:pPr>
      <w:r>
        <w:rPr>
          <w:rFonts w:hint="eastAsia" w:hAnsi="宋体" w:cs="宋体"/>
          <w:color w:val="auto"/>
        </w:rPr>
        <w:t>参加采购活动前3年内与供应商存在劳动关系；</w:t>
      </w:r>
    </w:p>
    <w:p>
      <w:pPr>
        <w:pStyle w:val="40"/>
        <w:numPr>
          <w:ilvl w:val="0"/>
          <w:numId w:val="7"/>
        </w:numPr>
        <w:snapToGrid w:val="0"/>
        <w:spacing w:after="156" w:afterLines="50" w:line="400" w:lineRule="exact"/>
        <w:ind w:hanging="1554"/>
        <w:rPr>
          <w:rFonts w:hAnsi="宋体" w:cs="宋体"/>
          <w:color w:val="auto"/>
        </w:rPr>
      </w:pPr>
      <w:r>
        <w:rPr>
          <w:rFonts w:hint="eastAsia" w:hAnsi="宋体" w:cs="宋体"/>
          <w:color w:val="auto"/>
        </w:rPr>
        <w:t>参加采购活动前3年内担任供应商的董事、监事；</w:t>
      </w:r>
    </w:p>
    <w:p>
      <w:pPr>
        <w:pStyle w:val="40"/>
        <w:numPr>
          <w:ilvl w:val="0"/>
          <w:numId w:val="7"/>
        </w:numPr>
        <w:snapToGrid w:val="0"/>
        <w:spacing w:after="156" w:afterLines="50" w:line="400" w:lineRule="exact"/>
        <w:ind w:hanging="1554"/>
        <w:rPr>
          <w:rFonts w:hAnsi="宋体" w:cs="宋体"/>
          <w:color w:val="auto"/>
        </w:rPr>
      </w:pPr>
      <w:r>
        <w:rPr>
          <w:rFonts w:hint="eastAsia" w:hAnsi="宋体" w:cs="宋体"/>
          <w:color w:val="auto"/>
        </w:rPr>
        <w:t>参加采购活动前3年内是供应商的控股股东或者实际控制人；</w:t>
      </w:r>
    </w:p>
    <w:p>
      <w:pPr>
        <w:pStyle w:val="40"/>
        <w:numPr>
          <w:ilvl w:val="0"/>
          <w:numId w:val="7"/>
        </w:numPr>
        <w:snapToGrid w:val="0"/>
        <w:spacing w:after="156" w:afterLines="50" w:line="400" w:lineRule="exact"/>
        <w:ind w:left="640" w:hanging="640"/>
        <w:rPr>
          <w:rFonts w:hAnsi="宋体" w:cs="宋体"/>
          <w:color w:val="auto"/>
        </w:rPr>
      </w:pPr>
      <w:r>
        <w:rPr>
          <w:rFonts w:hint="eastAsia" w:hAnsi="宋体" w:cs="宋体"/>
          <w:color w:val="auto"/>
        </w:rPr>
        <w:t>与供应商的法定代表人或者负责人有夫妻、直系血亲、三代以内旁系血亲或者近姻亲关系；</w:t>
      </w:r>
    </w:p>
    <w:p>
      <w:pPr>
        <w:pStyle w:val="40"/>
        <w:numPr>
          <w:ilvl w:val="0"/>
          <w:numId w:val="7"/>
        </w:numPr>
        <w:snapToGrid w:val="0"/>
        <w:spacing w:after="156" w:afterLines="50" w:line="400" w:lineRule="exact"/>
        <w:ind w:hanging="1554"/>
        <w:rPr>
          <w:rFonts w:hAnsi="宋体" w:cs="宋体"/>
          <w:color w:val="auto"/>
        </w:rPr>
      </w:pPr>
      <w:r>
        <w:rPr>
          <w:rFonts w:hint="eastAsia" w:hAnsi="宋体" w:cs="宋体"/>
          <w:color w:val="auto"/>
        </w:rPr>
        <w:t>与供应商有其他可能影响政府采购活动公平、公正进行的关系。</w:t>
      </w:r>
    </w:p>
    <w:p>
      <w:pPr>
        <w:numPr>
          <w:ilvl w:val="2"/>
          <w:numId w:val="2"/>
        </w:numPr>
        <w:tabs>
          <w:tab w:val="left" w:pos="1134"/>
          <w:tab w:val="left" w:pos="1260"/>
          <w:tab w:val="left" w:pos="1418"/>
          <w:tab w:val="left" w:pos="1800"/>
        </w:tabs>
        <w:autoSpaceDE w:val="0"/>
        <w:autoSpaceDN w:val="0"/>
        <w:adjustRightInd w:val="0"/>
        <w:snapToGrid w:val="0"/>
        <w:spacing w:before="120" w:after="156" w:afterLines="50" w:line="400" w:lineRule="exact"/>
        <w:rPr>
          <w:rFonts w:ascii="宋体" w:hAnsi="宋体" w:cs="宋体"/>
          <w:color w:val="auto"/>
          <w:kern w:val="0"/>
          <w:szCs w:val="21"/>
        </w:rPr>
      </w:pPr>
      <w:r>
        <w:rPr>
          <w:rFonts w:hint="eastAsia" w:ascii="宋体" w:hAnsi="宋体" w:cs="宋体"/>
          <w:color w:val="auto"/>
          <w:kern w:val="0"/>
          <w:szCs w:val="21"/>
        </w:rPr>
        <w:t>磋商小组</w:t>
      </w:r>
      <w:r>
        <w:rPr>
          <w:rFonts w:hint="eastAsia" w:ascii="宋体" w:hAnsi="宋体" w:cs="宋体"/>
          <w:color w:val="auto"/>
          <w:szCs w:val="21"/>
        </w:rPr>
        <w:t>负责具体评审事务，并独立履行下列职责</w:t>
      </w:r>
      <w:r>
        <w:rPr>
          <w:rFonts w:hint="eastAsia" w:ascii="宋体" w:hAnsi="宋体" w:cs="宋体"/>
          <w:color w:val="auto"/>
          <w:kern w:val="0"/>
          <w:szCs w:val="21"/>
        </w:rPr>
        <w:t>：</w:t>
      </w:r>
    </w:p>
    <w:p>
      <w:pPr>
        <w:pStyle w:val="40"/>
        <w:numPr>
          <w:ilvl w:val="0"/>
          <w:numId w:val="8"/>
        </w:numPr>
        <w:snapToGrid w:val="0"/>
        <w:spacing w:after="156" w:afterLines="50" w:line="400" w:lineRule="exact"/>
        <w:ind w:hanging="1554"/>
        <w:rPr>
          <w:rFonts w:hAnsi="宋体" w:cs="宋体"/>
          <w:color w:val="auto"/>
        </w:rPr>
      </w:pPr>
      <w:bookmarkStart w:id="118" w:name="_Toc195921828"/>
      <w:r>
        <w:rPr>
          <w:rFonts w:hint="eastAsia" w:hAnsi="宋体" w:cs="宋体"/>
          <w:color w:val="auto"/>
        </w:rPr>
        <w:t>确认磋商文件；</w:t>
      </w:r>
    </w:p>
    <w:p>
      <w:pPr>
        <w:pStyle w:val="40"/>
        <w:numPr>
          <w:ilvl w:val="0"/>
          <w:numId w:val="8"/>
        </w:numPr>
        <w:snapToGrid w:val="0"/>
        <w:spacing w:after="156" w:afterLines="50" w:line="400" w:lineRule="exact"/>
        <w:ind w:hanging="1554"/>
        <w:rPr>
          <w:rFonts w:hAnsi="宋体" w:cs="宋体"/>
          <w:color w:val="auto"/>
        </w:rPr>
      </w:pPr>
      <w:r>
        <w:rPr>
          <w:rFonts w:hint="eastAsia" w:hAnsi="宋体" w:cs="宋体"/>
          <w:color w:val="auto"/>
        </w:rPr>
        <w:t>审查供应商的响应文件并作出评价；</w:t>
      </w:r>
    </w:p>
    <w:p>
      <w:pPr>
        <w:pStyle w:val="40"/>
        <w:numPr>
          <w:ilvl w:val="0"/>
          <w:numId w:val="8"/>
        </w:numPr>
        <w:snapToGrid w:val="0"/>
        <w:spacing w:after="156" w:afterLines="50" w:line="400" w:lineRule="exact"/>
        <w:ind w:hanging="1554"/>
        <w:rPr>
          <w:rFonts w:hAnsi="宋体" w:cs="宋体"/>
          <w:color w:val="auto"/>
        </w:rPr>
      </w:pPr>
      <w:r>
        <w:rPr>
          <w:rFonts w:hint="eastAsia" w:hAnsi="宋体" w:cs="宋体"/>
          <w:color w:val="auto"/>
        </w:rPr>
        <w:t>要求供应商解释或者澄清其响应文件；</w:t>
      </w:r>
    </w:p>
    <w:p>
      <w:pPr>
        <w:pStyle w:val="40"/>
        <w:numPr>
          <w:ilvl w:val="0"/>
          <w:numId w:val="8"/>
        </w:numPr>
        <w:snapToGrid w:val="0"/>
        <w:spacing w:after="156" w:afterLines="50" w:line="400" w:lineRule="exact"/>
        <w:ind w:hanging="1554"/>
        <w:rPr>
          <w:rFonts w:hAnsi="宋体" w:cs="宋体"/>
          <w:color w:val="auto"/>
        </w:rPr>
      </w:pPr>
      <w:r>
        <w:rPr>
          <w:rFonts w:hint="eastAsia" w:hAnsi="宋体" w:cs="宋体"/>
          <w:color w:val="auto"/>
        </w:rPr>
        <w:t>编写评审报告；</w:t>
      </w:r>
    </w:p>
    <w:p>
      <w:pPr>
        <w:pStyle w:val="40"/>
        <w:numPr>
          <w:ilvl w:val="0"/>
          <w:numId w:val="8"/>
        </w:numPr>
        <w:snapToGrid w:val="0"/>
        <w:spacing w:after="156" w:afterLines="50" w:line="400" w:lineRule="exact"/>
        <w:ind w:hanging="1554"/>
        <w:rPr>
          <w:rFonts w:hAnsi="宋体" w:cs="宋体"/>
          <w:color w:val="auto"/>
        </w:rPr>
      </w:pPr>
      <w:r>
        <w:rPr>
          <w:rFonts w:hint="eastAsia" w:hAnsi="宋体" w:cs="宋体"/>
          <w:color w:val="auto"/>
        </w:rPr>
        <w:t>告知采购人、采购代理机构在评审过程中发现的供应商的违法违规行为。</w:t>
      </w:r>
    </w:p>
    <w:p>
      <w:pPr>
        <w:numPr>
          <w:ilvl w:val="1"/>
          <w:numId w:val="2"/>
        </w:numPr>
        <w:tabs>
          <w:tab w:val="left" w:pos="1134"/>
        </w:tabs>
        <w:autoSpaceDE w:val="0"/>
        <w:autoSpaceDN w:val="0"/>
        <w:adjustRightInd w:val="0"/>
        <w:snapToGrid w:val="0"/>
        <w:spacing w:line="400" w:lineRule="exact"/>
        <w:ind w:left="0" w:firstLine="0"/>
        <w:rPr>
          <w:rFonts w:ascii="宋体" w:hAnsi="宋体" w:cs="宋体"/>
          <w:color w:val="auto"/>
          <w:kern w:val="0"/>
          <w:szCs w:val="21"/>
        </w:rPr>
      </w:pPr>
      <w:r>
        <w:rPr>
          <w:rFonts w:hint="eastAsia" w:ascii="宋体" w:hAnsi="宋体" w:cs="宋体"/>
          <w:color w:val="auto"/>
          <w:kern w:val="0"/>
          <w:szCs w:val="21"/>
        </w:rPr>
        <w:t>磋商小组所有成员集中与单一供应商按照响应文件递交的顺序分别进行磋商，并给予所有参加磋商的供应商平等的磋商机会。</w:t>
      </w:r>
    </w:p>
    <w:p>
      <w:pPr>
        <w:numPr>
          <w:ilvl w:val="1"/>
          <w:numId w:val="2"/>
        </w:numPr>
        <w:tabs>
          <w:tab w:val="left" w:pos="1134"/>
        </w:tabs>
        <w:autoSpaceDE w:val="0"/>
        <w:autoSpaceDN w:val="0"/>
        <w:adjustRightInd w:val="0"/>
        <w:snapToGrid w:val="0"/>
        <w:spacing w:after="156" w:afterLines="50" w:line="400" w:lineRule="exact"/>
        <w:ind w:left="14" w:hanging="14"/>
        <w:rPr>
          <w:rFonts w:ascii="宋体" w:hAnsi="宋体" w:cs="宋体"/>
          <w:color w:val="auto"/>
          <w:kern w:val="0"/>
          <w:szCs w:val="21"/>
        </w:rPr>
      </w:pPr>
      <w:r>
        <w:rPr>
          <w:rFonts w:hint="eastAsia" w:ascii="宋体" w:hAnsi="宋体" w:cs="宋体"/>
          <w:color w:val="auto"/>
          <w:kern w:val="0"/>
          <w:szCs w:val="21"/>
        </w:rPr>
        <w:t>磋商结束后，磋商小组可以要求所有继续参加磋商的供应商在规定时间内提交最后报价函，提交最后报价函的供应商不得少于3家。</w:t>
      </w:r>
    </w:p>
    <w:p>
      <w:pPr>
        <w:numPr>
          <w:ilvl w:val="1"/>
          <w:numId w:val="2"/>
        </w:numPr>
        <w:autoSpaceDE w:val="0"/>
        <w:autoSpaceDN w:val="0"/>
        <w:adjustRightInd w:val="0"/>
        <w:snapToGrid w:val="0"/>
        <w:spacing w:after="156" w:afterLines="50" w:line="400" w:lineRule="exact"/>
        <w:ind w:left="14" w:hanging="14"/>
        <w:rPr>
          <w:rFonts w:ascii="宋体" w:hAnsi="宋体" w:cs="宋体"/>
          <w:color w:val="auto"/>
          <w:kern w:val="0"/>
          <w:szCs w:val="21"/>
        </w:rPr>
      </w:pPr>
      <w:r>
        <w:rPr>
          <w:rFonts w:hint="eastAsia" w:ascii="宋体" w:hAnsi="宋体" w:cs="宋体"/>
          <w:color w:val="auto"/>
          <w:kern w:val="0"/>
          <w:szCs w:val="21"/>
        </w:rPr>
        <w:t>供应商应当按照磋商文件的变动情况和磋商小组的要求重新提交最后报价函，并由其法定代表人或授权代表签字或者加盖公章。由授权代表签字的，应当附法定代表人授权书。</w:t>
      </w:r>
    </w:p>
    <w:p>
      <w:pPr>
        <w:autoSpaceDE w:val="0"/>
        <w:autoSpaceDN w:val="0"/>
        <w:adjustRightInd w:val="0"/>
        <w:snapToGrid w:val="0"/>
        <w:spacing w:after="156" w:afterLines="50" w:line="400" w:lineRule="exact"/>
        <w:ind w:left="420" w:leftChars="200"/>
        <w:rPr>
          <w:rFonts w:ascii="宋体" w:hAnsi="宋体" w:cs="宋体"/>
          <w:color w:val="auto"/>
          <w:kern w:val="0"/>
          <w:szCs w:val="21"/>
        </w:rPr>
      </w:pPr>
      <w:r>
        <w:rPr>
          <w:rFonts w:hint="eastAsia" w:ascii="宋体" w:hAnsi="宋体" w:cs="宋体"/>
          <w:color w:val="auto"/>
          <w:kern w:val="0"/>
          <w:szCs w:val="21"/>
        </w:rPr>
        <w:t>最后报价函是供应商响应文件的有效组成部分。</w:t>
      </w:r>
    </w:p>
    <w:p>
      <w:pPr>
        <w:numPr>
          <w:ilvl w:val="1"/>
          <w:numId w:val="2"/>
        </w:numPr>
        <w:tabs>
          <w:tab w:val="left" w:pos="1260"/>
        </w:tabs>
        <w:autoSpaceDE w:val="0"/>
        <w:autoSpaceDN w:val="0"/>
        <w:adjustRightInd w:val="0"/>
        <w:snapToGrid w:val="0"/>
        <w:spacing w:after="156" w:afterLines="50" w:line="400" w:lineRule="exact"/>
        <w:ind w:left="14" w:hanging="14"/>
        <w:rPr>
          <w:rFonts w:ascii="宋体" w:hAnsi="宋体" w:cs="宋体"/>
          <w:color w:val="auto"/>
          <w:kern w:val="0"/>
          <w:szCs w:val="21"/>
        </w:rPr>
      </w:pPr>
      <w:r>
        <w:rPr>
          <w:rFonts w:hint="eastAsia" w:ascii="宋体" w:hAnsi="宋体" w:cs="宋体"/>
          <w:color w:val="auto"/>
          <w:kern w:val="0"/>
          <w:szCs w:val="21"/>
        </w:rPr>
        <w:t>若竞争性磋商最后报价函与供应商首次递交的报价函及报价函附录的内容有差异，以竞争性磋商最后报价函内容为准。</w:t>
      </w:r>
    </w:p>
    <w:p>
      <w:pPr>
        <w:numPr>
          <w:ilvl w:val="1"/>
          <w:numId w:val="2"/>
        </w:numPr>
        <w:tabs>
          <w:tab w:val="left" w:pos="1260"/>
        </w:tabs>
        <w:autoSpaceDE w:val="0"/>
        <w:autoSpaceDN w:val="0"/>
        <w:adjustRightInd w:val="0"/>
        <w:snapToGrid w:val="0"/>
        <w:spacing w:after="156" w:afterLines="50" w:line="400" w:lineRule="exact"/>
        <w:ind w:left="14" w:hanging="14"/>
        <w:rPr>
          <w:rFonts w:ascii="宋体" w:hAnsi="宋体" w:cs="宋体"/>
          <w:color w:val="auto"/>
          <w:szCs w:val="21"/>
        </w:rPr>
      </w:pPr>
      <w:r>
        <w:rPr>
          <w:rFonts w:hint="eastAsia" w:ascii="宋体" w:hAnsi="宋体" w:cs="宋体"/>
          <w:color w:val="auto"/>
          <w:kern w:val="0"/>
          <w:szCs w:val="21"/>
        </w:rPr>
        <w:t>若成交供应商的竞争性磋商最后报价函的报价与首次递交的报价函的报价有差异，则首次响应文件中所列明的各项单价和合价，应在符合适用法律法规和相关政策的基础上按最后报价与首次报价的变化幅度进行调整，收到成交通知书后的3日内提交给采购人；对采购人提出的审查意见在合同签订前修改完成。</w:t>
      </w:r>
    </w:p>
    <w:p>
      <w:pPr>
        <w:numPr>
          <w:ilvl w:val="1"/>
          <w:numId w:val="2"/>
        </w:numPr>
        <w:tabs>
          <w:tab w:val="left" w:pos="1480"/>
        </w:tabs>
        <w:autoSpaceDE w:val="0"/>
        <w:autoSpaceDN w:val="0"/>
        <w:adjustRightInd w:val="0"/>
        <w:snapToGrid w:val="0"/>
        <w:spacing w:after="156" w:afterLines="50" w:line="400" w:lineRule="exact"/>
        <w:ind w:left="14" w:hanging="14"/>
        <w:rPr>
          <w:rFonts w:ascii="宋体" w:hAnsi="宋体" w:cs="宋体"/>
          <w:color w:val="auto"/>
          <w:szCs w:val="21"/>
        </w:rPr>
      </w:pPr>
      <w:r>
        <w:rPr>
          <w:rFonts w:hint="eastAsia" w:ascii="宋体" w:hAnsi="宋体" w:cs="宋体"/>
          <w:color w:val="auto"/>
          <w:kern w:val="0"/>
          <w:szCs w:val="21"/>
        </w:rPr>
        <w:t>磋商小组</w:t>
      </w:r>
      <w:r>
        <w:rPr>
          <w:rFonts w:hint="eastAsia" w:ascii="宋体" w:hAnsi="宋体" w:cs="宋体"/>
          <w:color w:val="auto"/>
          <w:szCs w:val="21"/>
        </w:rPr>
        <w:t>按照第三章“评审办法和标准”规定的评标方法和标准，对参与磋商最后报价的响应文件进行商务和技术评估，综合比较与评价。“评审办法”没有规定的方法、评审因素和标准，不作为评审依据。</w:t>
      </w:r>
    </w:p>
    <w:bookmarkEnd w:id="118"/>
    <w:p>
      <w:pPr>
        <w:numPr>
          <w:ilvl w:val="0"/>
          <w:numId w:val="2"/>
        </w:numPr>
        <w:tabs>
          <w:tab w:val="left" w:pos="1134"/>
        </w:tabs>
        <w:autoSpaceDE w:val="0"/>
        <w:autoSpaceDN w:val="0"/>
        <w:adjustRightInd w:val="0"/>
        <w:spacing w:after="156" w:afterLines="50" w:line="400" w:lineRule="exact"/>
        <w:outlineLvl w:val="2"/>
        <w:rPr>
          <w:rFonts w:ascii="宋体" w:hAnsi="宋体" w:cs="宋体"/>
          <w:color w:val="auto"/>
          <w:kern w:val="0"/>
          <w:szCs w:val="21"/>
        </w:rPr>
      </w:pPr>
      <w:bookmarkStart w:id="119" w:name="_Toc4433564"/>
      <w:bookmarkStart w:id="120" w:name="_Toc3220173"/>
      <w:bookmarkStart w:id="121" w:name="_Toc195921830"/>
      <w:r>
        <w:rPr>
          <w:rFonts w:hint="eastAsia" w:ascii="宋体" w:hAnsi="宋体" w:cs="宋体"/>
          <w:color w:val="auto"/>
          <w:kern w:val="0"/>
          <w:szCs w:val="21"/>
        </w:rPr>
        <w:t>合同授予</w:t>
      </w:r>
      <w:bookmarkEnd w:id="119"/>
      <w:bookmarkEnd w:id="120"/>
      <w:bookmarkEnd w:id="121"/>
    </w:p>
    <w:p>
      <w:pPr>
        <w:numPr>
          <w:ilvl w:val="1"/>
          <w:numId w:val="2"/>
        </w:numPr>
        <w:tabs>
          <w:tab w:val="left" w:pos="1134"/>
        </w:tabs>
        <w:autoSpaceDE w:val="0"/>
        <w:autoSpaceDN w:val="0"/>
        <w:adjustRightInd w:val="0"/>
        <w:snapToGrid w:val="0"/>
        <w:spacing w:after="156" w:afterLines="50" w:line="400" w:lineRule="exact"/>
        <w:rPr>
          <w:rFonts w:ascii="宋体" w:hAnsi="宋体" w:cs="宋体"/>
          <w:color w:val="auto"/>
          <w:kern w:val="0"/>
          <w:szCs w:val="21"/>
        </w:rPr>
      </w:pPr>
      <w:bookmarkStart w:id="122" w:name="_Toc195921831"/>
      <w:bookmarkStart w:id="123" w:name="_Ref526866822"/>
      <w:bookmarkStart w:id="124" w:name="_Ref527102841"/>
      <w:r>
        <w:rPr>
          <w:rFonts w:hint="eastAsia" w:ascii="宋体" w:hAnsi="宋体" w:cs="宋体"/>
          <w:color w:val="auto"/>
          <w:kern w:val="0"/>
          <w:szCs w:val="21"/>
        </w:rPr>
        <w:t>确定成交供应商方式</w:t>
      </w:r>
      <w:bookmarkEnd w:id="122"/>
      <w:bookmarkEnd w:id="123"/>
      <w:bookmarkEnd w:id="124"/>
    </w:p>
    <w:p>
      <w:pPr>
        <w:tabs>
          <w:tab w:val="left" w:pos="1260"/>
        </w:tabs>
        <w:autoSpaceDE w:val="0"/>
        <w:autoSpaceDN w:val="0"/>
        <w:adjustRightInd w:val="0"/>
        <w:snapToGrid w:val="0"/>
        <w:spacing w:after="156" w:afterLines="50" w:line="400" w:lineRule="exact"/>
        <w:ind w:firstLine="420" w:firstLineChars="200"/>
        <w:rPr>
          <w:rFonts w:ascii="宋体" w:hAnsi="宋体" w:cs="宋体"/>
          <w:color w:val="auto"/>
          <w:kern w:val="0"/>
          <w:szCs w:val="21"/>
        </w:rPr>
      </w:pPr>
      <w:r>
        <w:rPr>
          <w:rFonts w:hint="eastAsia" w:ascii="宋体" w:hAnsi="宋体" w:cs="宋体"/>
          <w:color w:val="auto"/>
          <w:szCs w:val="21"/>
        </w:rPr>
        <w:t>采购人应当从评审报告提出的成交候选供应商中，按照得分排序由高到低的原则确定成交供应商，也可以书面授权磋商小组直接确定成交供应商。具体方式见供应商须知前附表。</w:t>
      </w:r>
    </w:p>
    <w:p>
      <w:pPr>
        <w:numPr>
          <w:ilvl w:val="1"/>
          <w:numId w:val="2"/>
        </w:numPr>
        <w:tabs>
          <w:tab w:val="left" w:pos="1134"/>
        </w:tabs>
        <w:autoSpaceDE w:val="0"/>
        <w:autoSpaceDN w:val="0"/>
        <w:adjustRightInd w:val="0"/>
        <w:snapToGrid w:val="0"/>
        <w:spacing w:after="156" w:afterLines="50" w:line="400" w:lineRule="exact"/>
        <w:rPr>
          <w:rFonts w:ascii="宋体" w:hAnsi="宋体" w:cs="宋体"/>
          <w:color w:val="auto"/>
          <w:kern w:val="0"/>
          <w:szCs w:val="21"/>
        </w:rPr>
      </w:pPr>
      <w:r>
        <w:rPr>
          <w:rFonts w:hint="eastAsia" w:ascii="宋体" w:hAnsi="宋体" w:cs="宋体"/>
          <w:color w:val="auto"/>
          <w:kern w:val="0"/>
          <w:szCs w:val="21"/>
        </w:rPr>
        <w:t>成交公告</w:t>
      </w:r>
    </w:p>
    <w:p>
      <w:pPr>
        <w:numPr>
          <w:ilvl w:val="2"/>
          <w:numId w:val="2"/>
        </w:numPr>
        <w:tabs>
          <w:tab w:val="left" w:pos="1260"/>
        </w:tabs>
        <w:autoSpaceDE w:val="0"/>
        <w:autoSpaceDN w:val="0"/>
        <w:adjustRightInd w:val="0"/>
        <w:snapToGrid w:val="0"/>
        <w:spacing w:after="156" w:afterLines="50" w:line="400" w:lineRule="exact"/>
        <w:ind w:left="14" w:hanging="14"/>
        <w:rPr>
          <w:rFonts w:ascii="宋体" w:hAnsi="宋体" w:cs="宋体"/>
          <w:color w:val="auto"/>
          <w:szCs w:val="21"/>
        </w:rPr>
      </w:pPr>
      <w:r>
        <w:rPr>
          <w:rFonts w:hint="eastAsia" w:ascii="宋体" w:hAnsi="宋体" w:cs="宋体"/>
          <w:color w:val="auto"/>
          <w:szCs w:val="21"/>
        </w:rPr>
        <w:t>采购人或者采购代理机构应当自成交供应商确定之日起 2 个工作日内，在省级以上财政部门指定的媒体上公告成交结果。</w:t>
      </w:r>
    </w:p>
    <w:p>
      <w:pPr>
        <w:tabs>
          <w:tab w:val="left" w:pos="1260"/>
        </w:tabs>
        <w:autoSpaceDE w:val="0"/>
        <w:autoSpaceDN w:val="0"/>
        <w:adjustRightInd w:val="0"/>
        <w:snapToGrid w:val="0"/>
        <w:spacing w:after="156" w:afterLines="50" w:line="400" w:lineRule="exact"/>
        <w:ind w:left="420" w:leftChars="200"/>
        <w:rPr>
          <w:rFonts w:ascii="宋体" w:hAnsi="宋体" w:cs="宋体"/>
          <w:color w:val="auto"/>
          <w:szCs w:val="21"/>
        </w:rPr>
      </w:pPr>
      <w:r>
        <w:rPr>
          <w:rFonts w:hint="eastAsia" w:ascii="宋体" w:hAnsi="宋体" w:cs="宋体"/>
          <w:color w:val="auto"/>
          <w:szCs w:val="21"/>
        </w:rPr>
        <w:t>成交公告期限为 1 个工作日。</w:t>
      </w:r>
    </w:p>
    <w:p>
      <w:pPr>
        <w:numPr>
          <w:ilvl w:val="2"/>
          <w:numId w:val="2"/>
        </w:numPr>
        <w:tabs>
          <w:tab w:val="left" w:pos="1260"/>
        </w:tabs>
        <w:autoSpaceDE w:val="0"/>
        <w:autoSpaceDN w:val="0"/>
        <w:adjustRightInd w:val="0"/>
        <w:snapToGrid w:val="0"/>
        <w:spacing w:after="156" w:afterLines="50" w:line="400" w:lineRule="exact"/>
        <w:ind w:left="14" w:hanging="14"/>
        <w:rPr>
          <w:rFonts w:ascii="宋体" w:hAnsi="宋体" w:cs="宋体"/>
          <w:color w:val="auto"/>
          <w:szCs w:val="21"/>
        </w:rPr>
      </w:pPr>
      <w:r>
        <w:rPr>
          <w:rFonts w:hint="eastAsia" w:ascii="宋体" w:hAnsi="宋体" w:cs="宋体"/>
          <w:color w:val="auto"/>
          <w:kern w:val="0"/>
          <w:szCs w:val="21"/>
        </w:rPr>
        <w:t>供应商可以在成交公告期限届满之日</w:t>
      </w:r>
      <w:r>
        <w:rPr>
          <w:rFonts w:hint="eastAsia" w:ascii="宋体" w:hAnsi="宋体" w:cs="宋体"/>
          <w:color w:val="auto"/>
          <w:szCs w:val="21"/>
        </w:rPr>
        <w:t>起七个工作日内，按本须知</w:t>
      </w:r>
      <w:r>
        <w:rPr>
          <w:rFonts w:hint="eastAsia" w:ascii="宋体" w:hAnsi="宋体" w:cs="宋体"/>
          <w:color w:val="auto"/>
        </w:rPr>
        <w:fldChar w:fldCharType="begin"/>
      </w:r>
      <w:r>
        <w:rPr>
          <w:rFonts w:hint="eastAsia" w:ascii="宋体" w:hAnsi="宋体" w:cs="宋体"/>
          <w:color w:val="auto"/>
        </w:rPr>
        <w:instrText xml:space="preserve"> REF _Ref527101721 \r \h  \* MERGEFORMAT </w:instrText>
      </w:r>
      <w:r>
        <w:rPr>
          <w:rFonts w:hint="eastAsia" w:ascii="宋体" w:hAnsi="宋体" w:cs="宋体"/>
          <w:color w:val="auto"/>
        </w:rPr>
        <w:fldChar w:fldCharType="separate"/>
      </w:r>
      <w:r>
        <w:rPr>
          <w:rFonts w:hint="eastAsia" w:ascii="宋体" w:hAnsi="宋体" w:cs="宋体"/>
          <w:color w:val="auto"/>
          <w:szCs w:val="21"/>
        </w:rPr>
        <w:t>2.3</w:t>
      </w:r>
      <w:r>
        <w:rPr>
          <w:rFonts w:hint="eastAsia" w:ascii="宋体" w:hAnsi="宋体" w:cs="宋体"/>
          <w:color w:val="auto"/>
        </w:rPr>
        <w:fldChar w:fldCharType="end"/>
      </w:r>
      <w:r>
        <w:rPr>
          <w:rFonts w:hint="eastAsia" w:ascii="宋体" w:hAnsi="宋体" w:cs="宋体"/>
          <w:color w:val="auto"/>
          <w:szCs w:val="21"/>
        </w:rPr>
        <w:t>款接收质疑函的方式以书面形式一次性提出对成交结果的质疑。</w:t>
      </w:r>
    </w:p>
    <w:p>
      <w:pPr>
        <w:numPr>
          <w:ilvl w:val="1"/>
          <w:numId w:val="2"/>
        </w:numPr>
        <w:tabs>
          <w:tab w:val="left" w:pos="1134"/>
        </w:tabs>
        <w:autoSpaceDE w:val="0"/>
        <w:autoSpaceDN w:val="0"/>
        <w:adjustRightInd w:val="0"/>
        <w:snapToGrid w:val="0"/>
        <w:spacing w:after="156" w:afterLines="50" w:line="400" w:lineRule="exact"/>
        <w:rPr>
          <w:rFonts w:ascii="宋体" w:hAnsi="宋体" w:cs="宋体"/>
          <w:color w:val="auto"/>
          <w:kern w:val="0"/>
          <w:szCs w:val="21"/>
        </w:rPr>
      </w:pPr>
      <w:bookmarkStart w:id="125" w:name="_Toc195921832"/>
      <w:r>
        <w:rPr>
          <w:rFonts w:hint="eastAsia" w:ascii="宋体" w:hAnsi="宋体" w:cs="宋体"/>
          <w:color w:val="auto"/>
          <w:kern w:val="0"/>
          <w:szCs w:val="21"/>
        </w:rPr>
        <w:t>成交通知</w:t>
      </w:r>
      <w:bookmarkEnd w:id="125"/>
    </w:p>
    <w:p>
      <w:pPr>
        <w:tabs>
          <w:tab w:val="left" w:pos="1260"/>
        </w:tabs>
        <w:autoSpaceDE w:val="0"/>
        <w:autoSpaceDN w:val="0"/>
        <w:adjustRightInd w:val="0"/>
        <w:snapToGrid w:val="0"/>
        <w:spacing w:after="156" w:afterLines="50" w:line="400" w:lineRule="exact"/>
        <w:ind w:firstLine="420" w:firstLineChars="200"/>
        <w:rPr>
          <w:rFonts w:ascii="宋体" w:hAnsi="宋体" w:cs="宋体"/>
          <w:color w:val="auto"/>
          <w:kern w:val="0"/>
          <w:szCs w:val="21"/>
        </w:rPr>
      </w:pPr>
      <w:r>
        <w:rPr>
          <w:rFonts w:hint="eastAsia" w:ascii="宋体" w:hAnsi="宋体" w:cs="宋体"/>
          <w:color w:val="auto"/>
          <w:kern w:val="0"/>
          <w:szCs w:val="21"/>
        </w:rPr>
        <w:t>在公告成交结果的同时，采购人以书面形式向成交供应商发出成交通知书，同时将成交结果通知其他参加磋商的供应商。</w:t>
      </w:r>
    </w:p>
    <w:p>
      <w:pPr>
        <w:tabs>
          <w:tab w:val="left" w:pos="1260"/>
        </w:tabs>
        <w:autoSpaceDE w:val="0"/>
        <w:autoSpaceDN w:val="0"/>
        <w:adjustRightInd w:val="0"/>
        <w:snapToGrid w:val="0"/>
        <w:spacing w:after="156" w:afterLines="50" w:line="400" w:lineRule="exact"/>
        <w:ind w:left="420"/>
        <w:rPr>
          <w:rFonts w:ascii="宋体" w:hAnsi="宋体" w:cs="宋体"/>
          <w:color w:val="auto"/>
          <w:kern w:val="0"/>
          <w:szCs w:val="21"/>
        </w:rPr>
      </w:pPr>
      <w:r>
        <w:rPr>
          <w:rFonts w:hint="eastAsia" w:ascii="宋体" w:hAnsi="宋体" w:cs="宋体"/>
          <w:color w:val="auto"/>
          <w:szCs w:val="21"/>
        </w:rPr>
        <w:t>成交通知书发出后，采购人不得违法改变成交结果，成交供应商无正当理由不得放弃。</w:t>
      </w:r>
    </w:p>
    <w:p>
      <w:pPr>
        <w:numPr>
          <w:ilvl w:val="1"/>
          <w:numId w:val="2"/>
        </w:numPr>
        <w:tabs>
          <w:tab w:val="left" w:pos="1134"/>
        </w:tabs>
        <w:autoSpaceDE w:val="0"/>
        <w:autoSpaceDN w:val="0"/>
        <w:adjustRightInd w:val="0"/>
        <w:snapToGrid w:val="0"/>
        <w:spacing w:after="156" w:afterLines="50" w:line="400" w:lineRule="exact"/>
        <w:rPr>
          <w:rFonts w:ascii="宋体" w:hAnsi="宋体" w:cs="宋体"/>
          <w:color w:val="auto"/>
          <w:kern w:val="0"/>
          <w:szCs w:val="21"/>
        </w:rPr>
      </w:pPr>
      <w:r>
        <w:rPr>
          <w:rFonts w:hint="eastAsia" w:ascii="宋体" w:hAnsi="宋体" w:cs="宋体"/>
          <w:color w:val="auto"/>
          <w:kern w:val="0"/>
          <w:szCs w:val="21"/>
        </w:rPr>
        <w:t>履约保证金</w:t>
      </w:r>
    </w:p>
    <w:p>
      <w:pPr>
        <w:numPr>
          <w:ilvl w:val="2"/>
          <w:numId w:val="2"/>
        </w:numPr>
        <w:tabs>
          <w:tab w:val="left" w:pos="1260"/>
        </w:tabs>
        <w:autoSpaceDE w:val="0"/>
        <w:autoSpaceDN w:val="0"/>
        <w:adjustRightInd w:val="0"/>
        <w:snapToGrid w:val="0"/>
        <w:spacing w:after="156" w:afterLines="50" w:line="400" w:lineRule="exact"/>
        <w:ind w:left="14" w:hanging="14"/>
        <w:rPr>
          <w:rFonts w:ascii="宋体" w:hAnsi="宋体" w:cs="宋体"/>
          <w:color w:val="auto"/>
          <w:kern w:val="0"/>
          <w:szCs w:val="21"/>
        </w:rPr>
      </w:pPr>
      <w:bookmarkStart w:id="126" w:name="_Ref421009348"/>
      <w:r>
        <w:rPr>
          <w:rFonts w:hint="eastAsia" w:ascii="宋体" w:hAnsi="宋体" w:cs="宋体"/>
          <w:color w:val="auto"/>
          <w:kern w:val="0"/>
          <w:szCs w:val="21"/>
        </w:rPr>
        <w:t>在签订合同前，成交供应商应按供应商须知前附表规定的金额、担保形式和磋商文件第四章“合同条款及格式”规定的履约保证金格式向采购人提交履约保证金。</w:t>
      </w:r>
      <w:bookmarkEnd w:id="126"/>
    </w:p>
    <w:p>
      <w:pPr>
        <w:numPr>
          <w:ilvl w:val="2"/>
          <w:numId w:val="2"/>
        </w:numPr>
        <w:tabs>
          <w:tab w:val="left" w:pos="1260"/>
        </w:tabs>
        <w:autoSpaceDE w:val="0"/>
        <w:autoSpaceDN w:val="0"/>
        <w:adjustRightInd w:val="0"/>
        <w:snapToGrid w:val="0"/>
        <w:spacing w:after="156" w:afterLines="50" w:line="400" w:lineRule="exact"/>
        <w:ind w:left="14" w:hanging="14"/>
        <w:rPr>
          <w:rFonts w:ascii="宋体" w:hAnsi="宋体" w:cs="宋体"/>
          <w:color w:val="auto"/>
          <w:kern w:val="0"/>
          <w:szCs w:val="21"/>
        </w:rPr>
      </w:pPr>
      <w:r>
        <w:rPr>
          <w:rFonts w:hint="eastAsia" w:ascii="宋体" w:hAnsi="宋体" w:cs="宋体"/>
          <w:color w:val="auto"/>
          <w:kern w:val="0"/>
          <w:szCs w:val="21"/>
        </w:rPr>
        <w:t>成交供应商不能按本章第</w:t>
      </w:r>
      <w:r>
        <w:rPr>
          <w:rFonts w:hint="eastAsia" w:ascii="宋体" w:hAnsi="宋体" w:cs="宋体"/>
          <w:color w:val="auto"/>
        </w:rPr>
        <w:fldChar w:fldCharType="begin"/>
      </w:r>
      <w:r>
        <w:rPr>
          <w:rFonts w:hint="eastAsia" w:ascii="宋体" w:hAnsi="宋体" w:cs="宋体"/>
          <w:color w:val="auto"/>
        </w:rPr>
        <w:instrText xml:space="preserve"> REF _Ref421009348 \r \h  \* MERGEFORMAT </w:instrText>
      </w:r>
      <w:r>
        <w:rPr>
          <w:rFonts w:hint="eastAsia" w:ascii="宋体" w:hAnsi="宋体" w:cs="宋体"/>
          <w:color w:val="auto"/>
        </w:rPr>
        <w:fldChar w:fldCharType="separate"/>
      </w:r>
      <w:r>
        <w:rPr>
          <w:rFonts w:hint="eastAsia" w:ascii="宋体" w:hAnsi="宋体" w:cs="宋体"/>
          <w:color w:val="auto"/>
          <w:kern w:val="0"/>
          <w:szCs w:val="21"/>
        </w:rPr>
        <w:t>6.4.1</w:t>
      </w:r>
      <w:r>
        <w:rPr>
          <w:rFonts w:hint="eastAsia" w:ascii="宋体" w:hAnsi="宋体" w:cs="宋体"/>
          <w:color w:val="auto"/>
        </w:rPr>
        <w:fldChar w:fldCharType="end"/>
      </w:r>
      <w:r>
        <w:rPr>
          <w:rFonts w:hint="eastAsia" w:ascii="宋体" w:hAnsi="宋体" w:cs="宋体"/>
          <w:color w:val="auto"/>
          <w:kern w:val="0"/>
          <w:szCs w:val="21"/>
        </w:rPr>
        <w:t>项要求提交履约保证金的，视为放弃成交，其磋商保证金不予退还，给采购人造成的损失超过磋商保证金数额的，成交供应商还应当对超过部分予以赔偿。</w:t>
      </w:r>
    </w:p>
    <w:p>
      <w:pPr>
        <w:numPr>
          <w:ilvl w:val="1"/>
          <w:numId w:val="2"/>
        </w:numPr>
        <w:tabs>
          <w:tab w:val="left" w:pos="1134"/>
        </w:tabs>
        <w:autoSpaceDE w:val="0"/>
        <w:autoSpaceDN w:val="0"/>
        <w:adjustRightInd w:val="0"/>
        <w:snapToGrid w:val="0"/>
        <w:spacing w:after="156" w:afterLines="50" w:line="400" w:lineRule="exact"/>
        <w:rPr>
          <w:rFonts w:ascii="宋体" w:hAnsi="宋体" w:cs="宋体"/>
          <w:color w:val="auto"/>
          <w:kern w:val="0"/>
          <w:szCs w:val="21"/>
        </w:rPr>
      </w:pPr>
      <w:bookmarkStart w:id="127" w:name="_Toc195921834"/>
      <w:r>
        <w:rPr>
          <w:rFonts w:hint="eastAsia" w:ascii="宋体" w:hAnsi="宋体" w:cs="宋体"/>
          <w:color w:val="auto"/>
          <w:kern w:val="0"/>
          <w:szCs w:val="21"/>
        </w:rPr>
        <w:t>签订合同</w:t>
      </w:r>
      <w:bookmarkEnd w:id="127"/>
    </w:p>
    <w:p>
      <w:pPr>
        <w:numPr>
          <w:ilvl w:val="2"/>
          <w:numId w:val="2"/>
        </w:numPr>
        <w:tabs>
          <w:tab w:val="left" w:pos="1260"/>
        </w:tabs>
        <w:autoSpaceDE w:val="0"/>
        <w:autoSpaceDN w:val="0"/>
        <w:adjustRightInd w:val="0"/>
        <w:snapToGrid w:val="0"/>
        <w:spacing w:after="156" w:afterLines="50" w:line="400" w:lineRule="exact"/>
        <w:ind w:left="14" w:hanging="14"/>
        <w:rPr>
          <w:rFonts w:ascii="宋体" w:hAnsi="宋体" w:cs="宋体"/>
          <w:color w:val="auto"/>
          <w:szCs w:val="21"/>
        </w:rPr>
      </w:pPr>
      <w:r>
        <w:rPr>
          <w:rFonts w:hint="eastAsia" w:ascii="宋体" w:hAnsi="宋体" w:cs="宋体"/>
          <w:color w:val="auto"/>
          <w:szCs w:val="21"/>
        </w:rPr>
        <w:t>采购人应当自成交通知书发出之日起30日内，按照磋商文件和成交供应商响应文件的规定，与成交供应商签订书面合同。所签订的合同不得对磋商文件确定的事项和成交供应商响应文件作实质性修改。采购人不得向成交供应商提出任何不合理的要求作为签订合同的条件。</w:t>
      </w:r>
    </w:p>
    <w:p>
      <w:pPr>
        <w:numPr>
          <w:ilvl w:val="2"/>
          <w:numId w:val="2"/>
        </w:numPr>
        <w:tabs>
          <w:tab w:val="left" w:pos="1260"/>
        </w:tabs>
        <w:autoSpaceDE w:val="0"/>
        <w:autoSpaceDN w:val="0"/>
        <w:adjustRightInd w:val="0"/>
        <w:snapToGrid w:val="0"/>
        <w:spacing w:after="156" w:afterLines="50" w:line="400" w:lineRule="exact"/>
        <w:ind w:left="14" w:hanging="14"/>
        <w:rPr>
          <w:rFonts w:ascii="宋体" w:hAnsi="宋体" w:cs="宋体"/>
          <w:color w:val="auto"/>
          <w:kern w:val="0"/>
          <w:szCs w:val="21"/>
        </w:rPr>
      </w:pPr>
      <w:r>
        <w:rPr>
          <w:rFonts w:hint="eastAsia" w:ascii="宋体" w:hAnsi="宋体" w:cs="宋体"/>
          <w:color w:val="auto"/>
          <w:kern w:val="0"/>
          <w:szCs w:val="21"/>
        </w:rPr>
        <w:t>成交供应商无正当理由拒签合同的，采购人取消其成交资格，其磋商保证金不予退还；给采购人造成的损失超过磋商保证金数额的，成交供应商还应当对超过部分予以赔偿。</w:t>
      </w:r>
    </w:p>
    <w:p>
      <w:pPr>
        <w:numPr>
          <w:ilvl w:val="2"/>
          <w:numId w:val="2"/>
        </w:numPr>
        <w:tabs>
          <w:tab w:val="left" w:pos="1260"/>
        </w:tabs>
        <w:autoSpaceDE w:val="0"/>
        <w:autoSpaceDN w:val="0"/>
        <w:adjustRightInd w:val="0"/>
        <w:snapToGrid w:val="0"/>
        <w:spacing w:after="156" w:afterLines="50" w:line="400" w:lineRule="exact"/>
        <w:ind w:left="14" w:hanging="14"/>
        <w:rPr>
          <w:rFonts w:ascii="宋体" w:hAnsi="宋体" w:cs="宋体"/>
          <w:color w:val="auto"/>
          <w:kern w:val="0"/>
          <w:szCs w:val="21"/>
        </w:rPr>
      </w:pPr>
      <w:r>
        <w:rPr>
          <w:rFonts w:hint="eastAsia" w:ascii="宋体" w:hAnsi="宋体" w:cs="宋体"/>
          <w:color w:val="auto"/>
          <w:kern w:val="0"/>
          <w:szCs w:val="21"/>
        </w:rPr>
        <w:t>发出成交通知书后，采购人无正当理由拒签合同的，采购人向成交供应商退还磋商保证金；给成交供应商造成损失的，还应当赔偿损失。</w:t>
      </w:r>
    </w:p>
    <w:p>
      <w:pPr>
        <w:numPr>
          <w:ilvl w:val="2"/>
          <w:numId w:val="2"/>
        </w:numPr>
        <w:tabs>
          <w:tab w:val="left" w:pos="1260"/>
        </w:tabs>
        <w:autoSpaceDE w:val="0"/>
        <w:autoSpaceDN w:val="0"/>
        <w:adjustRightInd w:val="0"/>
        <w:snapToGrid w:val="0"/>
        <w:spacing w:after="156" w:afterLines="50" w:line="400" w:lineRule="exact"/>
        <w:ind w:left="14" w:hanging="14"/>
        <w:rPr>
          <w:rFonts w:ascii="宋体" w:hAnsi="宋体" w:cs="宋体"/>
          <w:color w:val="auto"/>
          <w:kern w:val="0"/>
          <w:szCs w:val="21"/>
        </w:rPr>
      </w:pPr>
      <w:r>
        <w:rPr>
          <w:rFonts w:hint="eastAsia" w:ascii="宋体" w:hAnsi="宋体" w:cs="宋体"/>
          <w:color w:val="auto"/>
          <w:kern w:val="0"/>
          <w:szCs w:val="21"/>
        </w:rPr>
        <w:t>成交供应商拒绝签订政府采购合同的，采购人可以按照第</w:t>
      </w:r>
      <w:r>
        <w:rPr>
          <w:rFonts w:hint="eastAsia" w:ascii="宋体" w:hAnsi="宋体" w:cs="宋体"/>
          <w:color w:val="auto"/>
        </w:rPr>
        <w:fldChar w:fldCharType="begin"/>
      </w:r>
      <w:r>
        <w:rPr>
          <w:rFonts w:hint="eastAsia" w:ascii="宋体" w:hAnsi="宋体" w:cs="宋体"/>
          <w:color w:val="auto"/>
        </w:rPr>
        <w:instrText xml:space="preserve"> REF _Ref526866822 \r \h  \* MERGEFORMAT </w:instrText>
      </w:r>
      <w:r>
        <w:rPr>
          <w:rFonts w:hint="eastAsia" w:ascii="宋体" w:hAnsi="宋体" w:cs="宋体"/>
          <w:color w:val="auto"/>
        </w:rPr>
        <w:fldChar w:fldCharType="separate"/>
      </w:r>
      <w:r>
        <w:rPr>
          <w:rFonts w:hint="eastAsia" w:ascii="宋体" w:hAnsi="宋体" w:cs="宋体"/>
          <w:color w:val="auto"/>
          <w:kern w:val="0"/>
          <w:szCs w:val="21"/>
        </w:rPr>
        <w:t>6.1</w:t>
      </w:r>
      <w:r>
        <w:rPr>
          <w:rFonts w:hint="eastAsia" w:ascii="宋体" w:hAnsi="宋体" w:cs="宋体"/>
          <w:color w:val="auto"/>
        </w:rPr>
        <w:fldChar w:fldCharType="end"/>
      </w:r>
      <w:r>
        <w:rPr>
          <w:rFonts w:hint="eastAsia" w:ascii="宋体" w:hAnsi="宋体" w:cs="宋体"/>
          <w:color w:val="auto"/>
          <w:kern w:val="0"/>
          <w:szCs w:val="21"/>
        </w:rPr>
        <w:t>款原则确定其他供应商作为成交供应商并签订政府采购合同，也可以重新开展采购活动。拒绝签订政府采购合同的成交供应商不得参加对该项目重新开展的采购活动。</w:t>
      </w:r>
    </w:p>
    <w:p>
      <w:pPr>
        <w:numPr>
          <w:ilvl w:val="0"/>
          <w:numId w:val="2"/>
        </w:numPr>
        <w:tabs>
          <w:tab w:val="left" w:pos="1134"/>
        </w:tabs>
        <w:autoSpaceDE w:val="0"/>
        <w:autoSpaceDN w:val="0"/>
        <w:adjustRightInd w:val="0"/>
        <w:spacing w:after="156" w:afterLines="50" w:line="400" w:lineRule="exact"/>
        <w:outlineLvl w:val="2"/>
        <w:rPr>
          <w:rFonts w:ascii="宋体" w:hAnsi="宋体" w:cs="宋体"/>
          <w:color w:val="auto"/>
          <w:kern w:val="0"/>
          <w:szCs w:val="21"/>
        </w:rPr>
      </w:pPr>
      <w:bookmarkStart w:id="128" w:name="_Toc3220174"/>
      <w:bookmarkStart w:id="129" w:name="_Toc4433565"/>
      <w:bookmarkStart w:id="130" w:name="_Toc195921838"/>
      <w:r>
        <w:rPr>
          <w:rFonts w:hint="eastAsia" w:ascii="宋体" w:hAnsi="宋体" w:cs="宋体"/>
          <w:color w:val="auto"/>
          <w:kern w:val="0"/>
          <w:szCs w:val="21"/>
        </w:rPr>
        <w:t>重新开展采购活动</w:t>
      </w:r>
      <w:bookmarkEnd w:id="128"/>
      <w:bookmarkEnd w:id="129"/>
    </w:p>
    <w:p>
      <w:pPr>
        <w:tabs>
          <w:tab w:val="left" w:pos="1260"/>
        </w:tabs>
        <w:autoSpaceDE w:val="0"/>
        <w:autoSpaceDN w:val="0"/>
        <w:adjustRightInd w:val="0"/>
        <w:snapToGrid w:val="0"/>
        <w:spacing w:after="156" w:afterLines="50" w:line="400" w:lineRule="exact"/>
        <w:ind w:firstLine="420" w:firstLineChars="200"/>
        <w:rPr>
          <w:rFonts w:ascii="宋体" w:hAnsi="宋体" w:cs="宋体"/>
          <w:color w:val="auto"/>
          <w:kern w:val="0"/>
          <w:szCs w:val="21"/>
        </w:rPr>
      </w:pPr>
      <w:r>
        <w:rPr>
          <w:rFonts w:hint="eastAsia" w:ascii="宋体" w:hAnsi="宋体" w:cs="宋体"/>
          <w:color w:val="auto"/>
          <w:kern w:val="0"/>
          <w:szCs w:val="21"/>
        </w:rPr>
        <w:t>出现下列情形之一的，采购人或者采购代理机构应当终止竞争性磋商采购活动，通过发布公告邀请供应商参加磋商的，将在磋商公告发布媒体上发布（通过邀请方式的，将通知每位接受邀请的供应商）项目终止公告并说明原因，重新开展采购活动：</w:t>
      </w:r>
    </w:p>
    <w:p>
      <w:pPr>
        <w:tabs>
          <w:tab w:val="left" w:pos="1260"/>
        </w:tabs>
        <w:autoSpaceDE w:val="0"/>
        <w:autoSpaceDN w:val="0"/>
        <w:adjustRightInd w:val="0"/>
        <w:snapToGrid w:val="0"/>
        <w:spacing w:after="156" w:afterLines="50" w:line="400" w:lineRule="exact"/>
        <w:ind w:left="1873" w:hanging="1873" w:hangingChars="892"/>
        <w:rPr>
          <w:rFonts w:ascii="宋体" w:hAnsi="宋体" w:cs="宋体"/>
          <w:color w:val="auto"/>
          <w:kern w:val="0"/>
          <w:szCs w:val="21"/>
        </w:rPr>
      </w:pPr>
      <w:r>
        <w:rPr>
          <w:rFonts w:hint="eastAsia" w:ascii="宋体" w:hAnsi="宋体" w:cs="宋体"/>
          <w:color w:val="auto"/>
          <w:kern w:val="0"/>
          <w:szCs w:val="21"/>
        </w:rPr>
        <w:t>（1）因情况变化，不再符合规定的竞争性磋商采购方式适用情形的；</w:t>
      </w:r>
    </w:p>
    <w:p>
      <w:pPr>
        <w:tabs>
          <w:tab w:val="left" w:pos="1260"/>
        </w:tabs>
        <w:autoSpaceDE w:val="0"/>
        <w:autoSpaceDN w:val="0"/>
        <w:adjustRightInd w:val="0"/>
        <w:snapToGrid w:val="0"/>
        <w:spacing w:after="156" w:afterLines="50" w:line="400" w:lineRule="exact"/>
        <w:ind w:left="1875" w:hanging="1875" w:hangingChars="893"/>
        <w:rPr>
          <w:rFonts w:ascii="宋体" w:hAnsi="宋体" w:cs="宋体"/>
          <w:color w:val="auto"/>
          <w:kern w:val="0"/>
          <w:szCs w:val="21"/>
        </w:rPr>
      </w:pPr>
      <w:r>
        <w:rPr>
          <w:rFonts w:hint="eastAsia" w:ascii="宋体" w:hAnsi="宋体" w:cs="宋体"/>
          <w:color w:val="auto"/>
          <w:kern w:val="0"/>
          <w:szCs w:val="21"/>
        </w:rPr>
        <w:t>（2）出现影响采购公正的违法、违规行为的；</w:t>
      </w:r>
    </w:p>
    <w:p>
      <w:pPr>
        <w:tabs>
          <w:tab w:val="left" w:pos="2127"/>
        </w:tabs>
        <w:autoSpaceDE w:val="0"/>
        <w:autoSpaceDN w:val="0"/>
        <w:adjustRightInd w:val="0"/>
        <w:snapToGrid w:val="0"/>
        <w:spacing w:after="156" w:afterLines="50" w:line="400" w:lineRule="exact"/>
        <w:ind w:left="15" w:hanging="14" w:hangingChars="7"/>
        <w:rPr>
          <w:rFonts w:ascii="宋体" w:hAnsi="宋体" w:cs="宋体"/>
          <w:color w:val="auto"/>
          <w:kern w:val="0"/>
          <w:szCs w:val="21"/>
        </w:rPr>
      </w:pPr>
      <w:r>
        <w:rPr>
          <w:rFonts w:hint="eastAsia" w:ascii="宋体" w:hAnsi="宋体" w:cs="宋体"/>
          <w:color w:val="auto"/>
          <w:kern w:val="0"/>
          <w:szCs w:val="21"/>
        </w:rPr>
        <w:t>（3）在采购过程中符合要求的供应商或者报价未超过采购预算或最高限价的供应商不足3家的，但市场竞争不充分的科研项目以及需要扶持的科技成果转化项目</w:t>
      </w:r>
      <w:r>
        <w:rPr>
          <w:rFonts w:hint="eastAsia" w:ascii="宋体" w:hAnsi="宋体" w:cs="宋体"/>
          <w:color w:val="auto"/>
          <w:szCs w:val="21"/>
        </w:rPr>
        <w:t>提交最后报价的供应商可以为2家</w:t>
      </w:r>
      <w:r>
        <w:rPr>
          <w:rFonts w:hint="eastAsia" w:ascii="宋体" w:hAnsi="宋体" w:cs="宋体"/>
          <w:color w:val="auto"/>
          <w:kern w:val="0"/>
          <w:szCs w:val="21"/>
        </w:rPr>
        <w:t>。</w:t>
      </w:r>
    </w:p>
    <w:p>
      <w:pPr>
        <w:numPr>
          <w:ilvl w:val="0"/>
          <w:numId w:val="2"/>
        </w:numPr>
        <w:tabs>
          <w:tab w:val="left" w:pos="1134"/>
        </w:tabs>
        <w:autoSpaceDE w:val="0"/>
        <w:autoSpaceDN w:val="0"/>
        <w:adjustRightInd w:val="0"/>
        <w:spacing w:after="156" w:afterLines="50" w:line="400" w:lineRule="exact"/>
        <w:outlineLvl w:val="2"/>
        <w:rPr>
          <w:rFonts w:ascii="宋体" w:hAnsi="宋体" w:cs="宋体"/>
          <w:color w:val="auto"/>
          <w:kern w:val="0"/>
          <w:szCs w:val="21"/>
        </w:rPr>
      </w:pPr>
      <w:bookmarkStart w:id="131" w:name="_Toc4433566"/>
      <w:bookmarkStart w:id="132" w:name="_Toc3220175"/>
      <w:r>
        <w:rPr>
          <w:rFonts w:hint="eastAsia" w:ascii="宋体" w:hAnsi="宋体" w:cs="宋体"/>
          <w:color w:val="auto"/>
          <w:kern w:val="0"/>
          <w:szCs w:val="21"/>
        </w:rPr>
        <w:t>纪律和监督</w:t>
      </w:r>
      <w:bookmarkEnd w:id="130"/>
      <w:bookmarkEnd w:id="131"/>
      <w:bookmarkEnd w:id="132"/>
    </w:p>
    <w:p>
      <w:pPr>
        <w:numPr>
          <w:ilvl w:val="1"/>
          <w:numId w:val="2"/>
        </w:numPr>
        <w:tabs>
          <w:tab w:val="left" w:pos="1134"/>
        </w:tabs>
        <w:autoSpaceDE w:val="0"/>
        <w:autoSpaceDN w:val="0"/>
        <w:adjustRightInd w:val="0"/>
        <w:snapToGrid w:val="0"/>
        <w:spacing w:after="156" w:afterLines="50" w:line="400" w:lineRule="exact"/>
        <w:rPr>
          <w:rFonts w:ascii="宋体" w:hAnsi="宋体" w:cs="宋体"/>
          <w:color w:val="auto"/>
          <w:kern w:val="0"/>
          <w:szCs w:val="21"/>
        </w:rPr>
      </w:pPr>
      <w:bookmarkStart w:id="133" w:name="_Toc195921839"/>
      <w:r>
        <w:rPr>
          <w:rFonts w:hint="eastAsia" w:ascii="宋体" w:hAnsi="宋体" w:cs="宋体"/>
          <w:color w:val="auto"/>
          <w:kern w:val="0"/>
          <w:szCs w:val="21"/>
        </w:rPr>
        <w:t>对采购人的要求</w:t>
      </w:r>
      <w:bookmarkEnd w:id="133"/>
    </w:p>
    <w:p>
      <w:pPr>
        <w:tabs>
          <w:tab w:val="left" w:pos="1260"/>
        </w:tabs>
        <w:autoSpaceDE w:val="0"/>
        <w:autoSpaceDN w:val="0"/>
        <w:adjustRightInd w:val="0"/>
        <w:snapToGrid w:val="0"/>
        <w:spacing w:after="156" w:afterLines="50" w:line="400" w:lineRule="exact"/>
        <w:ind w:firstLine="420" w:firstLineChars="200"/>
        <w:rPr>
          <w:rFonts w:ascii="宋体" w:hAnsi="宋体" w:cs="宋体"/>
          <w:color w:val="auto"/>
          <w:kern w:val="0"/>
          <w:szCs w:val="21"/>
        </w:rPr>
      </w:pPr>
      <w:r>
        <w:rPr>
          <w:rFonts w:hint="eastAsia" w:ascii="宋体" w:hAnsi="宋体" w:cs="宋体"/>
          <w:color w:val="auto"/>
          <w:szCs w:val="21"/>
        </w:rPr>
        <w:t>采购人在政府采购活动中应当维护国家利益和社会公共利益，公正廉洁，诚实守信，执行政府采购政策。采购人不得向供应商索要或者接受其给予的赠品、回扣或者与采购无关的其他商品、服务</w:t>
      </w:r>
      <w:r>
        <w:rPr>
          <w:rFonts w:hint="eastAsia" w:ascii="宋体" w:hAnsi="宋体" w:cs="宋体"/>
          <w:color w:val="auto"/>
          <w:kern w:val="0"/>
          <w:szCs w:val="21"/>
        </w:rPr>
        <w:t>。</w:t>
      </w:r>
    </w:p>
    <w:p>
      <w:pPr>
        <w:numPr>
          <w:ilvl w:val="1"/>
          <w:numId w:val="2"/>
        </w:numPr>
        <w:tabs>
          <w:tab w:val="left" w:pos="1134"/>
        </w:tabs>
        <w:autoSpaceDE w:val="0"/>
        <w:autoSpaceDN w:val="0"/>
        <w:adjustRightInd w:val="0"/>
        <w:snapToGrid w:val="0"/>
        <w:spacing w:after="156" w:afterLines="50" w:line="400" w:lineRule="exact"/>
        <w:rPr>
          <w:rFonts w:ascii="宋体" w:hAnsi="宋体" w:cs="宋体"/>
          <w:color w:val="auto"/>
          <w:kern w:val="0"/>
          <w:szCs w:val="21"/>
        </w:rPr>
      </w:pPr>
      <w:bookmarkStart w:id="134" w:name="_Toc195921840"/>
      <w:r>
        <w:rPr>
          <w:rFonts w:hint="eastAsia" w:ascii="宋体" w:hAnsi="宋体" w:cs="宋体"/>
          <w:color w:val="auto"/>
          <w:kern w:val="0"/>
          <w:szCs w:val="21"/>
        </w:rPr>
        <w:t>对采购代理机构的要求</w:t>
      </w:r>
    </w:p>
    <w:p>
      <w:pPr>
        <w:tabs>
          <w:tab w:val="left" w:pos="1260"/>
        </w:tabs>
        <w:autoSpaceDE w:val="0"/>
        <w:autoSpaceDN w:val="0"/>
        <w:adjustRightInd w:val="0"/>
        <w:snapToGrid w:val="0"/>
        <w:spacing w:after="156" w:afterLines="50" w:line="400" w:lineRule="exact"/>
        <w:ind w:left="420"/>
        <w:rPr>
          <w:rFonts w:ascii="宋体" w:hAnsi="宋体" w:cs="宋体"/>
          <w:color w:val="auto"/>
          <w:szCs w:val="21"/>
        </w:rPr>
      </w:pPr>
      <w:r>
        <w:rPr>
          <w:rFonts w:hint="eastAsia" w:ascii="宋体" w:hAnsi="宋体" w:cs="宋体"/>
          <w:color w:val="auto"/>
          <w:szCs w:val="21"/>
        </w:rPr>
        <w:t>采购代理机构不得与采购人、供应商恶意串通操纵政府采购活动。</w:t>
      </w:r>
    </w:p>
    <w:p>
      <w:pPr>
        <w:tabs>
          <w:tab w:val="left" w:pos="1260"/>
        </w:tabs>
        <w:autoSpaceDE w:val="0"/>
        <w:autoSpaceDN w:val="0"/>
        <w:adjustRightInd w:val="0"/>
        <w:snapToGrid w:val="0"/>
        <w:spacing w:after="156" w:afterLines="50" w:line="400" w:lineRule="exact"/>
        <w:ind w:firstLine="420" w:firstLineChars="200"/>
        <w:rPr>
          <w:rFonts w:ascii="宋体" w:hAnsi="宋体" w:cs="宋体"/>
          <w:color w:val="auto"/>
          <w:szCs w:val="21"/>
        </w:rPr>
      </w:pPr>
      <w:r>
        <w:rPr>
          <w:rFonts w:hint="eastAsia" w:ascii="宋体" w:hAnsi="宋体" w:cs="宋体"/>
          <w:color w:val="auto"/>
          <w:szCs w:val="21"/>
        </w:rPr>
        <w:t>采购代理机构工作人员不得接受采购人或者供应商组织的宴请、旅游、娱乐，不得收受礼品、现金、有价证券等，不得向采购人或者供应商报销应当由个人承担的费用。</w:t>
      </w:r>
    </w:p>
    <w:p>
      <w:pPr>
        <w:numPr>
          <w:ilvl w:val="1"/>
          <w:numId w:val="2"/>
        </w:numPr>
        <w:tabs>
          <w:tab w:val="left" w:pos="1134"/>
        </w:tabs>
        <w:autoSpaceDE w:val="0"/>
        <w:autoSpaceDN w:val="0"/>
        <w:adjustRightInd w:val="0"/>
        <w:snapToGrid w:val="0"/>
        <w:spacing w:after="156" w:afterLines="50" w:line="400" w:lineRule="exact"/>
        <w:rPr>
          <w:rFonts w:ascii="宋体" w:hAnsi="宋体" w:cs="宋体"/>
          <w:color w:val="auto"/>
          <w:kern w:val="0"/>
          <w:szCs w:val="21"/>
        </w:rPr>
      </w:pPr>
      <w:r>
        <w:rPr>
          <w:rFonts w:hint="eastAsia" w:ascii="宋体" w:hAnsi="宋体" w:cs="宋体"/>
          <w:color w:val="auto"/>
          <w:kern w:val="0"/>
          <w:szCs w:val="21"/>
        </w:rPr>
        <w:t>对供应商的纪律要求</w:t>
      </w:r>
      <w:bookmarkEnd w:id="134"/>
    </w:p>
    <w:p>
      <w:pPr>
        <w:tabs>
          <w:tab w:val="left" w:pos="1260"/>
        </w:tabs>
        <w:autoSpaceDE w:val="0"/>
        <w:autoSpaceDN w:val="0"/>
        <w:adjustRightInd w:val="0"/>
        <w:snapToGrid w:val="0"/>
        <w:spacing w:after="156" w:afterLines="50" w:line="400" w:lineRule="exact"/>
        <w:ind w:firstLine="420" w:firstLineChars="200"/>
        <w:rPr>
          <w:rFonts w:ascii="宋体" w:hAnsi="宋体" w:cs="宋体"/>
          <w:color w:val="auto"/>
          <w:kern w:val="0"/>
          <w:szCs w:val="21"/>
        </w:rPr>
      </w:pPr>
      <w:r>
        <w:rPr>
          <w:rFonts w:hint="eastAsia" w:ascii="宋体" w:hAnsi="宋体" w:cs="宋体"/>
          <w:color w:val="auto"/>
          <w:kern w:val="0"/>
          <w:szCs w:val="21"/>
        </w:rPr>
        <w:t>供应商不得相互串通或者与采购人串通，不得向采购人或者磋商小组成员行贿谋取成交，不得以他人名义或者以其他方式弄虚作假骗取成交；供应商不得以任何方式干扰、影响磋商工作。</w:t>
      </w:r>
    </w:p>
    <w:p>
      <w:pPr>
        <w:numPr>
          <w:ilvl w:val="1"/>
          <w:numId w:val="2"/>
        </w:numPr>
        <w:tabs>
          <w:tab w:val="left" w:pos="1134"/>
        </w:tabs>
        <w:autoSpaceDE w:val="0"/>
        <w:autoSpaceDN w:val="0"/>
        <w:adjustRightInd w:val="0"/>
        <w:snapToGrid w:val="0"/>
        <w:spacing w:after="156" w:afterLines="50" w:line="400" w:lineRule="exact"/>
        <w:rPr>
          <w:rFonts w:ascii="宋体" w:hAnsi="宋体" w:cs="宋体"/>
          <w:color w:val="auto"/>
          <w:kern w:val="0"/>
          <w:szCs w:val="21"/>
        </w:rPr>
      </w:pPr>
      <w:bookmarkStart w:id="135" w:name="_Toc195921841"/>
      <w:r>
        <w:rPr>
          <w:rFonts w:hint="eastAsia" w:ascii="宋体" w:hAnsi="宋体" w:cs="宋体"/>
          <w:color w:val="auto"/>
          <w:kern w:val="0"/>
          <w:szCs w:val="21"/>
        </w:rPr>
        <w:t>磋商小组及其成员不得有下列行为</w:t>
      </w:r>
      <w:bookmarkEnd w:id="135"/>
    </w:p>
    <w:p>
      <w:pPr>
        <w:pStyle w:val="281"/>
        <w:numPr>
          <w:ilvl w:val="0"/>
          <w:numId w:val="9"/>
        </w:numPr>
        <w:snapToGrid w:val="0"/>
        <w:spacing w:after="156" w:afterLines="50" w:line="400" w:lineRule="exact"/>
        <w:ind w:left="420" w:firstLineChars="0"/>
        <w:rPr>
          <w:rFonts w:ascii="宋体" w:hAnsi="宋体" w:cs="宋体"/>
          <w:color w:val="auto"/>
          <w:szCs w:val="21"/>
        </w:rPr>
      </w:pPr>
      <w:r>
        <w:rPr>
          <w:rFonts w:hint="eastAsia" w:ascii="宋体" w:hAnsi="宋体" w:cs="宋体"/>
          <w:color w:val="auto"/>
          <w:szCs w:val="21"/>
        </w:rPr>
        <w:t>确定参与磋商至磋商结束前私自接触供应商；</w:t>
      </w:r>
    </w:p>
    <w:p>
      <w:pPr>
        <w:pStyle w:val="281"/>
        <w:numPr>
          <w:ilvl w:val="0"/>
          <w:numId w:val="9"/>
        </w:numPr>
        <w:snapToGrid w:val="0"/>
        <w:spacing w:after="156" w:afterLines="50" w:line="400" w:lineRule="exact"/>
        <w:ind w:left="0" w:firstLine="0" w:firstLineChars="0"/>
        <w:rPr>
          <w:rFonts w:ascii="宋体" w:hAnsi="宋体" w:cs="宋体"/>
          <w:color w:val="auto"/>
          <w:szCs w:val="21"/>
        </w:rPr>
      </w:pPr>
      <w:r>
        <w:rPr>
          <w:rFonts w:hint="eastAsia" w:ascii="宋体" w:hAnsi="宋体" w:cs="宋体"/>
          <w:color w:val="auto"/>
          <w:szCs w:val="21"/>
        </w:rPr>
        <w:t>接受供应商提出的与响应文件不一致的澄清或者说明，磋商小组要求供应商作出必要的澄清、说明或者补正的情形除外；</w:t>
      </w:r>
    </w:p>
    <w:p>
      <w:pPr>
        <w:pStyle w:val="281"/>
        <w:numPr>
          <w:ilvl w:val="0"/>
          <w:numId w:val="9"/>
        </w:numPr>
        <w:snapToGrid w:val="0"/>
        <w:spacing w:after="156" w:afterLines="50" w:line="400" w:lineRule="exact"/>
        <w:ind w:left="420" w:firstLineChars="0"/>
        <w:rPr>
          <w:rFonts w:ascii="宋体" w:hAnsi="宋体" w:cs="宋体"/>
          <w:color w:val="auto"/>
          <w:szCs w:val="21"/>
        </w:rPr>
      </w:pPr>
      <w:r>
        <w:rPr>
          <w:rFonts w:hint="eastAsia" w:ascii="宋体" w:hAnsi="宋体" w:cs="宋体"/>
          <w:color w:val="auto"/>
          <w:szCs w:val="21"/>
        </w:rPr>
        <w:t>违反评审纪律发表倾向性意见或者征询采购人的倾向性意见；</w:t>
      </w:r>
    </w:p>
    <w:p>
      <w:pPr>
        <w:pStyle w:val="281"/>
        <w:numPr>
          <w:ilvl w:val="0"/>
          <w:numId w:val="9"/>
        </w:numPr>
        <w:snapToGrid w:val="0"/>
        <w:spacing w:after="156" w:afterLines="50" w:line="400" w:lineRule="exact"/>
        <w:ind w:left="420" w:firstLineChars="0"/>
        <w:rPr>
          <w:rFonts w:ascii="宋体" w:hAnsi="宋体" w:cs="宋体"/>
          <w:color w:val="auto"/>
          <w:szCs w:val="21"/>
        </w:rPr>
      </w:pPr>
      <w:r>
        <w:rPr>
          <w:rFonts w:hint="eastAsia" w:ascii="宋体" w:hAnsi="宋体" w:cs="宋体"/>
          <w:color w:val="auto"/>
          <w:szCs w:val="21"/>
        </w:rPr>
        <w:t>在评审与磋商过程中擅离职守，影响评审程序正常进行的；</w:t>
      </w:r>
    </w:p>
    <w:p>
      <w:pPr>
        <w:pStyle w:val="281"/>
        <w:numPr>
          <w:ilvl w:val="0"/>
          <w:numId w:val="9"/>
        </w:numPr>
        <w:snapToGrid w:val="0"/>
        <w:spacing w:after="156" w:afterLines="50" w:line="400" w:lineRule="exact"/>
        <w:ind w:left="420" w:firstLineChars="0"/>
        <w:rPr>
          <w:rFonts w:ascii="宋体" w:hAnsi="宋体" w:cs="宋体"/>
          <w:color w:val="auto"/>
          <w:szCs w:val="21"/>
        </w:rPr>
      </w:pPr>
      <w:r>
        <w:rPr>
          <w:rFonts w:hint="eastAsia" w:ascii="宋体" w:hAnsi="宋体" w:cs="宋体"/>
          <w:color w:val="auto"/>
          <w:szCs w:val="21"/>
        </w:rPr>
        <w:t>记录、复制或者带走任何评审资料；</w:t>
      </w:r>
    </w:p>
    <w:p>
      <w:pPr>
        <w:pStyle w:val="281"/>
        <w:numPr>
          <w:ilvl w:val="0"/>
          <w:numId w:val="9"/>
        </w:numPr>
        <w:snapToGrid w:val="0"/>
        <w:spacing w:after="156" w:afterLines="50" w:line="400" w:lineRule="exact"/>
        <w:ind w:left="420" w:firstLineChars="0"/>
        <w:rPr>
          <w:rFonts w:ascii="宋体" w:hAnsi="宋体" w:cs="宋体"/>
          <w:color w:val="auto"/>
          <w:szCs w:val="21"/>
        </w:rPr>
      </w:pPr>
      <w:r>
        <w:rPr>
          <w:rFonts w:hint="eastAsia" w:ascii="宋体" w:hAnsi="宋体" w:cs="宋体"/>
          <w:color w:val="auto"/>
          <w:szCs w:val="21"/>
        </w:rPr>
        <w:t>其他不遵守评审纪律的行为。</w:t>
      </w:r>
    </w:p>
    <w:p>
      <w:pPr>
        <w:numPr>
          <w:ilvl w:val="1"/>
          <w:numId w:val="2"/>
        </w:numPr>
        <w:tabs>
          <w:tab w:val="left" w:pos="1134"/>
        </w:tabs>
        <w:autoSpaceDE w:val="0"/>
        <w:autoSpaceDN w:val="0"/>
        <w:adjustRightInd w:val="0"/>
        <w:snapToGrid w:val="0"/>
        <w:spacing w:after="156" w:afterLines="50" w:line="400" w:lineRule="exact"/>
        <w:rPr>
          <w:rFonts w:ascii="宋体" w:hAnsi="宋体" w:cs="宋体"/>
          <w:color w:val="auto"/>
          <w:kern w:val="0"/>
          <w:szCs w:val="21"/>
        </w:rPr>
      </w:pPr>
      <w:bookmarkStart w:id="136" w:name="_Toc195921842"/>
      <w:r>
        <w:rPr>
          <w:rFonts w:hint="eastAsia" w:ascii="宋体" w:hAnsi="宋体" w:cs="宋体"/>
          <w:color w:val="auto"/>
          <w:kern w:val="0"/>
          <w:szCs w:val="21"/>
        </w:rPr>
        <w:t>对与评审活动有关的工作人员的纪律要求</w:t>
      </w:r>
      <w:bookmarkEnd w:id="136"/>
    </w:p>
    <w:p>
      <w:pPr>
        <w:tabs>
          <w:tab w:val="left" w:pos="1260"/>
        </w:tabs>
        <w:autoSpaceDE w:val="0"/>
        <w:autoSpaceDN w:val="0"/>
        <w:adjustRightInd w:val="0"/>
        <w:snapToGrid w:val="0"/>
        <w:spacing w:after="156" w:afterLines="50" w:line="400" w:lineRule="exact"/>
        <w:ind w:firstLine="420" w:firstLineChars="200"/>
        <w:rPr>
          <w:rFonts w:ascii="宋体" w:hAnsi="宋体" w:cs="宋体"/>
          <w:color w:val="auto"/>
          <w:kern w:val="0"/>
          <w:szCs w:val="21"/>
        </w:rPr>
      </w:pPr>
      <w:r>
        <w:rPr>
          <w:rFonts w:hint="eastAsia" w:ascii="宋体" w:hAnsi="宋体" w:cs="宋体"/>
          <w:color w:val="auto"/>
          <w:kern w:val="0"/>
          <w:szCs w:val="21"/>
        </w:rPr>
        <w:t>与</w:t>
      </w:r>
      <w:r>
        <w:rPr>
          <w:rFonts w:hint="eastAsia" w:ascii="宋体" w:hAnsi="宋体" w:cs="宋体"/>
          <w:color w:val="auto"/>
          <w:szCs w:val="21"/>
        </w:rPr>
        <w:t>评审与磋商</w:t>
      </w:r>
      <w:r>
        <w:rPr>
          <w:rFonts w:hint="eastAsia" w:ascii="宋体" w:hAnsi="宋体" w:cs="宋体"/>
          <w:color w:val="auto"/>
          <w:kern w:val="0"/>
          <w:szCs w:val="21"/>
        </w:rPr>
        <w:t>活动有关的工作人员不得收受他人的财物或者其他好处，不得向他人透漏对响应文件的</w:t>
      </w:r>
      <w:r>
        <w:rPr>
          <w:rFonts w:hint="eastAsia" w:ascii="宋体" w:hAnsi="宋体" w:cs="宋体"/>
          <w:color w:val="auto"/>
          <w:szCs w:val="21"/>
        </w:rPr>
        <w:t>评审与磋商</w:t>
      </w:r>
      <w:r>
        <w:rPr>
          <w:rFonts w:hint="eastAsia" w:ascii="宋体" w:hAnsi="宋体" w:cs="宋体"/>
          <w:color w:val="auto"/>
          <w:kern w:val="0"/>
          <w:szCs w:val="21"/>
        </w:rPr>
        <w:t>、成交候选人的推荐情况以及</w:t>
      </w:r>
      <w:r>
        <w:rPr>
          <w:rFonts w:hint="eastAsia" w:ascii="宋体" w:hAnsi="宋体" w:cs="宋体"/>
          <w:color w:val="auto"/>
          <w:szCs w:val="21"/>
        </w:rPr>
        <w:t>评审与磋商</w:t>
      </w:r>
      <w:r>
        <w:rPr>
          <w:rFonts w:hint="eastAsia" w:ascii="宋体" w:hAnsi="宋体" w:cs="宋体"/>
          <w:color w:val="auto"/>
          <w:kern w:val="0"/>
          <w:szCs w:val="21"/>
        </w:rPr>
        <w:t>有关的其他情况。在评审活动中，参与</w:t>
      </w:r>
      <w:r>
        <w:rPr>
          <w:rFonts w:hint="eastAsia" w:ascii="宋体" w:hAnsi="宋体" w:cs="宋体"/>
          <w:color w:val="auto"/>
          <w:szCs w:val="21"/>
        </w:rPr>
        <w:t>评审与磋商</w:t>
      </w:r>
      <w:r>
        <w:rPr>
          <w:rFonts w:hint="eastAsia" w:ascii="宋体" w:hAnsi="宋体" w:cs="宋体"/>
          <w:color w:val="auto"/>
          <w:kern w:val="0"/>
          <w:szCs w:val="21"/>
        </w:rPr>
        <w:t>活动有关的工作人员不得擅离职守，影响</w:t>
      </w:r>
      <w:r>
        <w:rPr>
          <w:rFonts w:hint="eastAsia" w:ascii="宋体" w:hAnsi="宋体" w:cs="宋体"/>
          <w:color w:val="auto"/>
          <w:szCs w:val="21"/>
        </w:rPr>
        <w:t>评审与磋商</w:t>
      </w:r>
      <w:r>
        <w:rPr>
          <w:rFonts w:hint="eastAsia" w:ascii="宋体" w:hAnsi="宋体" w:cs="宋体"/>
          <w:color w:val="auto"/>
          <w:kern w:val="0"/>
          <w:szCs w:val="21"/>
        </w:rPr>
        <w:t>程序正常进行。</w:t>
      </w:r>
    </w:p>
    <w:p>
      <w:pPr>
        <w:numPr>
          <w:ilvl w:val="1"/>
          <w:numId w:val="2"/>
        </w:numPr>
        <w:tabs>
          <w:tab w:val="left" w:pos="1134"/>
        </w:tabs>
        <w:autoSpaceDE w:val="0"/>
        <w:autoSpaceDN w:val="0"/>
        <w:adjustRightInd w:val="0"/>
        <w:snapToGrid w:val="0"/>
        <w:spacing w:after="156" w:afterLines="50" w:line="400" w:lineRule="exact"/>
        <w:rPr>
          <w:rFonts w:ascii="宋体" w:hAnsi="宋体" w:cs="宋体"/>
          <w:color w:val="auto"/>
          <w:kern w:val="0"/>
          <w:szCs w:val="21"/>
        </w:rPr>
      </w:pPr>
      <w:bookmarkStart w:id="137" w:name="_Toc195921843"/>
      <w:r>
        <w:rPr>
          <w:rFonts w:hint="eastAsia" w:ascii="宋体" w:hAnsi="宋体" w:cs="宋体"/>
          <w:color w:val="auto"/>
          <w:kern w:val="0"/>
          <w:szCs w:val="21"/>
        </w:rPr>
        <w:t>投诉</w:t>
      </w:r>
      <w:bookmarkEnd w:id="137"/>
    </w:p>
    <w:p>
      <w:pPr>
        <w:tabs>
          <w:tab w:val="left" w:pos="1260"/>
        </w:tabs>
        <w:autoSpaceDE w:val="0"/>
        <w:autoSpaceDN w:val="0"/>
        <w:adjustRightInd w:val="0"/>
        <w:snapToGrid w:val="0"/>
        <w:spacing w:after="156" w:afterLines="50" w:line="400" w:lineRule="exact"/>
        <w:ind w:firstLine="420" w:firstLineChars="200"/>
        <w:rPr>
          <w:rFonts w:ascii="宋体" w:hAnsi="宋体" w:cs="宋体"/>
          <w:color w:val="auto"/>
          <w:kern w:val="0"/>
          <w:szCs w:val="21"/>
        </w:rPr>
      </w:pPr>
      <w:r>
        <w:rPr>
          <w:rFonts w:hint="eastAsia" w:ascii="宋体" w:hAnsi="宋体" w:cs="宋体"/>
          <w:color w:val="auto"/>
          <w:kern w:val="0"/>
          <w:szCs w:val="21"/>
        </w:rPr>
        <w:t>质疑供应商对采购人、采购代理机构的答复不满意或者采购人、采购代理机构未在规定的时间内作出答复的，可以在答复期满后十五个工作日内向同级政府采购监督管理部门投诉。</w:t>
      </w:r>
    </w:p>
    <w:p>
      <w:pPr>
        <w:numPr>
          <w:ilvl w:val="0"/>
          <w:numId w:val="2"/>
        </w:numPr>
        <w:tabs>
          <w:tab w:val="left" w:pos="1134"/>
        </w:tabs>
        <w:autoSpaceDE w:val="0"/>
        <w:autoSpaceDN w:val="0"/>
        <w:adjustRightInd w:val="0"/>
        <w:spacing w:after="156" w:afterLines="50" w:line="400" w:lineRule="exact"/>
        <w:outlineLvl w:val="2"/>
        <w:rPr>
          <w:rFonts w:ascii="宋体" w:hAnsi="宋体" w:cs="宋体"/>
          <w:color w:val="auto"/>
          <w:kern w:val="0"/>
          <w:szCs w:val="21"/>
        </w:rPr>
      </w:pPr>
      <w:bookmarkStart w:id="138" w:name="_Toc195921844"/>
      <w:bookmarkStart w:id="139" w:name="_Ref527103019"/>
      <w:bookmarkStart w:id="140" w:name="_Toc3220176"/>
      <w:bookmarkStart w:id="141" w:name="_Toc4433567"/>
      <w:r>
        <w:rPr>
          <w:rFonts w:hint="eastAsia" w:ascii="宋体" w:hAnsi="宋体" w:cs="宋体"/>
          <w:color w:val="auto"/>
          <w:kern w:val="0"/>
          <w:szCs w:val="21"/>
        </w:rPr>
        <w:t>其他</w:t>
      </w:r>
      <w:bookmarkEnd w:id="138"/>
      <w:bookmarkEnd w:id="139"/>
      <w:bookmarkEnd w:id="140"/>
      <w:bookmarkEnd w:id="141"/>
    </w:p>
    <w:p>
      <w:pPr>
        <w:tabs>
          <w:tab w:val="left" w:pos="1260"/>
        </w:tabs>
        <w:autoSpaceDE w:val="0"/>
        <w:autoSpaceDN w:val="0"/>
        <w:adjustRightInd w:val="0"/>
        <w:snapToGrid w:val="0"/>
        <w:spacing w:after="156" w:afterLines="50" w:line="400" w:lineRule="exact"/>
        <w:ind w:left="420"/>
        <w:rPr>
          <w:rFonts w:ascii="宋体" w:hAnsi="宋体" w:cs="宋体"/>
          <w:color w:val="auto"/>
          <w:kern w:val="0"/>
          <w:sz w:val="24"/>
        </w:rPr>
      </w:pPr>
      <w:r>
        <w:rPr>
          <w:rFonts w:hint="eastAsia" w:ascii="宋体" w:hAnsi="宋体" w:cs="宋体"/>
          <w:color w:val="auto"/>
          <w:kern w:val="0"/>
          <w:szCs w:val="21"/>
        </w:rPr>
        <w:t>需要补充的其他内容见供应商须知前附表。</w:t>
      </w:r>
    </w:p>
    <w:p>
      <w:pPr>
        <w:autoSpaceDE w:val="0"/>
        <w:autoSpaceDN w:val="0"/>
        <w:adjustRightInd w:val="0"/>
        <w:snapToGrid w:val="0"/>
        <w:spacing w:after="156" w:afterLines="50"/>
        <w:jc w:val="center"/>
        <w:outlineLvl w:val="0"/>
        <w:rPr>
          <w:rFonts w:ascii="宋体" w:hAnsi="宋体" w:cs="宋体"/>
          <w:color w:val="auto"/>
          <w:kern w:val="0"/>
          <w:sz w:val="32"/>
          <w:szCs w:val="32"/>
        </w:rPr>
      </w:pPr>
      <w:r>
        <w:rPr>
          <w:rFonts w:hint="eastAsia" w:ascii="宋体" w:hAnsi="宋体" w:cs="宋体"/>
          <w:color w:val="auto"/>
        </w:rPr>
        <w:br w:type="page"/>
      </w:r>
      <w:bookmarkStart w:id="142" w:name="_Toc7207"/>
      <w:bookmarkStart w:id="143" w:name="_Toc4433568"/>
      <w:r>
        <w:rPr>
          <w:rFonts w:hint="eastAsia" w:ascii="宋体" w:hAnsi="宋体" w:cs="宋体"/>
          <w:color w:val="auto"/>
          <w:kern w:val="0"/>
          <w:sz w:val="32"/>
          <w:szCs w:val="32"/>
        </w:rPr>
        <w:t>第三章  评审办法和标准</w:t>
      </w:r>
      <w:bookmarkEnd w:id="142"/>
      <w:bookmarkEnd w:id="143"/>
    </w:p>
    <w:p>
      <w:pPr>
        <w:rPr>
          <w:rFonts w:ascii="宋体" w:hAnsi="宋体" w:cs="宋体"/>
          <w:color w:val="auto"/>
        </w:rPr>
      </w:pPr>
    </w:p>
    <w:p>
      <w:pPr>
        <w:numPr>
          <w:ilvl w:val="0"/>
          <w:numId w:val="10"/>
        </w:numPr>
        <w:tabs>
          <w:tab w:val="left" w:pos="993"/>
          <w:tab w:val="left" w:pos="1077"/>
        </w:tabs>
        <w:autoSpaceDE w:val="0"/>
        <w:autoSpaceDN w:val="0"/>
        <w:adjustRightInd w:val="0"/>
        <w:snapToGrid w:val="0"/>
        <w:spacing w:after="156" w:afterLines="50" w:line="360" w:lineRule="auto"/>
        <w:jc w:val="left"/>
        <w:outlineLvl w:val="1"/>
        <w:rPr>
          <w:rFonts w:ascii="宋体" w:hAnsi="宋体" w:cs="宋体"/>
          <w:color w:val="auto"/>
          <w:kern w:val="0"/>
          <w:szCs w:val="21"/>
        </w:rPr>
      </w:pPr>
      <w:bookmarkStart w:id="144" w:name="_Toc2376"/>
      <w:bookmarkStart w:id="145" w:name="_Toc4433569"/>
      <w:bookmarkStart w:id="146" w:name="_Toc3220178"/>
      <w:r>
        <w:rPr>
          <w:rFonts w:hint="eastAsia" w:ascii="宋体" w:hAnsi="宋体" w:cs="宋体"/>
          <w:color w:val="auto"/>
          <w:kern w:val="0"/>
          <w:szCs w:val="21"/>
        </w:rPr>
        <w:t>评审方法</w:t>
      </w:r>
      <w:bookmarkEnd w:id="144"/>
      <w:bookmarkEnd w:id="145"/>
      <w:bookmarkEnd w:id="146"/>
    </w:p>
    <w:p>
      <w:pPr>
        <w:tabs>
          <w:tab w:val="left" w:pos="1260"/>
        </w:tabs>
        <w:autoSpaceDE w:val="0"/>
        <w:autoSpaceDN w:val="0"/>
        <w:adjustRightInd w:val="0"/>
        <w:snapToGrid w:val="0"/>
        <w:spacing w:after="156" w:afterLines="50"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本次评审采用综合评分法。磋商小组对满足磋商文件实质性要求的响应文件，按照本章第2条规定的评审标准进行打分，并按得分由高到低顺序推荐成交候选人，或根据采购人授权直接确定成交供应商。综合评分相等时，以报价得分由高到低顺序排列；报价也相等的，按技术指标优劣顺序排列。</w:t>
      </w:r>
    </w:p>
    <w:p>
      <w:pPr>
        <w:numPr>
          <w:ilvl w:val="0"/>
          <w:numId w:val="10"/>
        </w:numPr>
        <w:tabs>
          <w:tab w:val="left" w:pos="993"/>
          <w:tab w:val="left" w:pos="1077"/>
        </w:tabs>
        <w:autoSpaceDE w:val="0"/>
        <w:autoSpaceDN w:val="0"/>
        <w:adjustRightInd w:val="0"/>
        <w:snapToGrid w:val="0"/>
        <w:spacing w:after="156" w:afterLines="50" w:line="360" w:lineRule="auto"/>
        <w:jc w:val="left"/>
        <w:outlineLvl w:val="1"/>
        <w:rPr>
          <w:color w:val="auto"/>
        </w:rPr>
      </w:pPr>
      <w:bookmarkStart w:id="147" w:name="_Toc14936"/>
      <w:bookmarkStart w:id="148" w:name="_Toc3220179"/>
      <w:bookmarkStart w:id="149" w:name="_Toc4433570"/>
      <w:r>
        <w:rPr>
          <w:rFonts w:hint="eastAsia" w:ascii="宋体" w:hAnsi="宋体" w:cs="宋体"/>
          <w:color w:val="auto"/>
          <w:kern w:val="0"/>
          <w:szCs w:val="21"/>
        </w:rPr>
        <w:t>评审标准</w:t>
      </w:r>
      <w:bookmarkEnd w:id="147"/>
      <w:bookmarkEnd w:id="148"/>
      <w:bookmarkEnd w:id="149"/>
    </w:p>
    <w:p>
      <w:pPr>
        <w:numPr>
          <w:ilvl w:val="1"/>
          <w:numId w:val="10"/>
        </w:numPr>
        <w:tabs>
          <w:tab w:val="left" w:pos="993"/>
          <w:tab w:val="left" w:pos="1077"/>
        </w:tabs>
        <w:autoSpaceDE w:val="0"/>
        <w:autoSpaceDN w:val="0"/>
        <w:adjustRightInd w:val="0"/>
        <w:snapToGrid w:val="0"/>
        <w:spacing w:after="156" w:afterLines="50" w:line="360" w:lineRule="auto"/>
        <w:jc w:val="left"/>
        <w:rPr>
          <w:rFonts w:ascii="宋体" w:hAnsi="宋体" w:cs="宋体"/>
          <w:color w:val="auto"/>
          <w:kern w:val="0"/>
          <w:szCs w:val="21"/>
        </w:rPr>
      </w:pPr>
      <w:r>
        <w:rPr>
          <w:rFonts w:hint="eastAsia" w:ascii="宋体" w:hAnsi="宋体" w:cs="宋体"/>
          <w:color w:val="auto"/>
          <w:kern w:val="0"/>
          <w:szCs w:val="21"/>
        </w:rPr>
        <w:t>资格审查和符合性评审标准：见附表一和附表二。</w:t>
      </w:r>
    </w:p>
    <w:p>
      <w:pPr>
        <w:numPr>
          <w:ilvl w:val="1"/>
          <w:numId w:val="10"/>
        </w:numPr>
        <w:tabs>
          <w:tab w:val="left" w:pos="993"/>
          <w:tab w:val="left" w:pos="1077"/>
        </w:tabs>
        <w:autoSpaceDE w:val="0"/>
        <w:autoSpaceDN w:val="0"/>
        <w:adjustRightInd w:val="0"/>
        <w:snapToGrid w:val="0"/>
        <w:spacing w:after="156" w:afterLines="50" w:line="360" w:lineRule="auto"/>
        <w:jc w:val="left"/>
        <w:rPr>
          <w:rFonts w:ascii="宋体" w:hAnsi="宋体" w:cs="宋体"/>
          <w:color w:val="auto"/>
          <w:kern w:val="0"/>
          <w:szCs w:val="21"/>
        </w:rPr>
      </w:pPr>
      <w:r>
        <w:rPr>
          <w:rFonts w:hint="eastAsia" w:ascii="宋体" w:hAnsi="宋体" w:cs="宋体"/>
          <w:color w:val="auto"/>
          <w:kern w:val="0"/>
          <w:szCs w:val="21"/>
        </w:rPr>
        <w:t>分值构成</w:t>
      </w:r>
    </w:p>
    <w:p>
      <w:pPr>
        <w:tabs>
          <w:tab w:val="left" w:pos="993"/>
        </w:tabs>
        <w:autoSpaceDE w:val="0"/>
        <w:autoSpaceDN w:val="0"/>
        <w:adjustRightInd w:val="0"/>
        <w:snapToGrid w:val="0"/>
        <w:spacing w:after="156" w:afterLines="50" w:line="360" w:lineRule="auto"/>
        <w:ind w:left="15" w:leftChars="7" w:firstLine="424" w:firstLineChars="202"/>
        <w:jc w:val="left"/>
        <w:rPr>
          <w:rFonts w:ascii="宋体" w:hAnsi="宋体" w:cs="宋体"/>
          <w:color w:val="auto"/>
          <w:kern w:val="0"/>
          <w:szCs w:val="21"/>
        </w:rPr>
      </w:pPr>
      <w:r>
        <w:rPr>
          <w:rFonts w:hint="eastAsia" w:ascii="宋体" w:hAnsi="宋体" w:cs="宋体"/>
          <w:color w:val="auto"/>
          <w:kern w:val="0"/>
          <w:szCs w:val="21"/>
        </w:rPr>
        <w:t>分值构成：总分100分，其中</w:t>
      </w:r>
    </w:p>
    <w:p>
      <w:pPr>
        <w:tabs>
          <w:tab w:val="left" w:pos="993"/>
        </w:tabs>
        <w:autoSpaceDE w:val="0"/>
        <w:autoSpaceDN w:val="0"/>
        <w:adjustRightInd w:val="0"/>
        <w:snapToGrid w:val="0"/>
        <w:spacing w:after="156" w:afterLines="50" w:line="360" w:lineRule="auto"/>
        <w:ind w:left="420" w:leftChars="200"/>
        <w:jc w:val="left"/>
        <w:rPr>
          <w:rFonts w:ascii="宋体" w:hAnsi="宋体" w:cs="宋体"/>
          <w:color w:val="auto"/>
          <w:kern w:val="0"/>
          <w:szCs w:val="21"/>
        </w:rPr>
      </w:pPr>
      <w:r>
        <w:rPr>
          <w:rFonts w:hint="eastAsia" w:ascii="宋体" w:hAnsi="宋体" w:cs="宋体"/>
          <w:color w:val="auto"/>
          <w:kern w:val="0"/>
          <w:szCs w:val="21"/>
        </w:rPr>
        <w:t>商务部分（A）：详见附表三</w:t>
      </w:r>
    </w:p>
    <w:p>
      <w:pPr>
        <w:tabs>
          <w:tab w:val="left" w:pos="993"/>
        </w:tabs>
        <w:autoSpaceDE w:val="0"/>
        <w:autoSpaceDN w:val="0"/>
        <w:adjustRightInd w:val="0"/>
        <w:snapToGrid w:val="0"/>
        <w:spacing w:after="156" w:afterLines="50" w:line="360" w:lineRule="auto"/>
        <w:ind w:left="420" w:leftChars="200"/>
        <w:jc w:val="left"/>
        <w:rPr>
          <w:rFonts w:ascii="宋体" w:hAnsi="宋体" w:cs="宋体"/>
          <w:color w:val="auto"/>
          <w:kern w:val="0"/>
          <w:szCs w:val="21"/>
        </w:rPr>
      </w:pPr>
      <w:r>
        <w:rPr>
          <w:rFonts w:hint="eastAsia" w:ascii="宋体" w:hAnsi="宋体" w:cs="宋体"/>
          <w:color w:val="auto"/>
          <w:kern w:val="0"/>
          <w:szCs w:val="21"/>
        </w:rPr>
        <w:t>技术部分（B）：详见附表三</w:t>
      </w:r>
    </w:p>
    <w:p>
      <w:pPr>
        <w:tabs>
          <w:tab w:val="left" w:pos="993"/>
        </w:tabs>
        <w:autoSpaceDE w:val="0"/>
        <w:autoSpaceDN w:val="0"/>
        <w:adjustRightInd w:val="0"/>
        <w:snapToGrid w:val="0"/>
        <w:spacing w:after="156" w:afterLines="50" w:line="360" w:lineRule="auto"/>
        <w:ind w:left="420" w:leftChars="200"/>
        <w:jc w:val="left"/>
        <w:rPr>
          <w:rFonts w:ascii="宋体" w:hAnsi="宋体" w:cs="宋体"/>
          <w:color w:val="auto"/>
          <w:kern w:val="0"/>
          <w:szCs w:val="21"/>
        </w:rPr>
      </w:pPr>
      <w:r>
        <w:rPr>
          <w:rFonts w:hint="eastAsia" w:ascii="宋体" w:hAnsi="宋体" w:cs="宋体"/>
          <w:color w:val="auto"/>
          <w:kern w:val="0"/>
          <w:szCs w:val="21"/>
        </w:rPr>
        <w:t>报价部分（C）：详见附表三</w:t>
      </w:r>
    </w:p>
    <w:p>
      <w:pPr>
        <w:numPr>
          <w:ilvl w:val="1"/>
          <w:numId w:val="10"/>
        </w:numPr>
        <w:tabs>
          <w:tab w:val="left" w:pos="993"/>
          <w:tab w:val="left" w:pos="1077"/>
        </w:tabs>
        <w:autoSpaceDE w:val="0"/>
        <w:autoSpaceDN w:val="0"/>
        <w:adjustRightInd w:val="0"/>
        <w:snapToGrid w:val="0"/>
        <w:spacing w:after="156" w:afterLines="50" w:line="360" w:lineRule="auto"/>
        <w:jc w:val="left"/>
        <w:rPr>
          <w:rFonts w:ascii="宋体" w:hAnsi="宋体" w:cs="宋体"/>
          <w:color w:val="auto"/>
          <w:kern w:val="0"/>
          <w:szCs w:val="21"/>
        </w:rPr>
      </w:pPr>
      <w:r>
        <w:rPr>
          <w:rFonts w:hint="eastAsia" w:ascii="宋体" w:hAnsi="宋体" w:cs="宋体"/>
          <w:color w:val="auto"/>
          <w:kern w:val="0"/>
          <w:szCs w:val="21"/>
        </w:rPr>
        <w:t>商务和技术评审标准</w:t>
      </w:r>
    </w:p>
    <w:p>
      <w:pPr>
        <w:numPr>
          <w:ilvl w:val="2"/>
          <w:numId w:val="10"/>
        </w:numPr>
        <w:tabs>
          <w:tab w:val="left" w:pos="993"/>
        </w:tabs>
        <w:autoSpaceDE w:val="0"/>
        <w:autoSpaceDN w:val="0"/>
        <w:adjustRightInd w:val="0"/>
        <w:snapToGrid w:val="0"/>
        <w:spacing w:after="156" w:afterLines="50" w:line="360" w:lineRule="auto"/>
        <w:ind w:left="640" w:hanging="640"/>
        <w:jc w:val="left"/>
        <w:rPr>
          <w:rFonts w:ascii="宋体" w:hAnsi="宋体" w:cs="宋体"/>
          <w:color w:val="auto"/>
          <w:kern w:val="0"/>
          <w:szCs w:val="21"/>
        </w:rPr>
      </w:pPr>
      <w:r>
        <w:rPr>
          <w:rFonts w:hint="eastAsia" w:ascii="宋体" w:hAnsi="宋体" w:cs="宋体"/>
          <w:color w:val="auto"/>
          <w:kern w:val="0"/>
          <w:szCs w:val="21"/>
        </w:rPr>
        <w:t>商务部分评分标准：见附表三</w:t>
      </w:r>
    </w:p>
    <w:p>
      <w:pPr>
        <w:numPr>
          <w:ilvl w:val="2"/>
          <w:numId w:val="10"/>
        </w:numPr>
        <w:tabs>
          <w:tab w:val="left" w:pos="993"/>
          <w:tab w:val="left" w:pos="1418"/>
        </w:tabs>
        <w:autoSpaceDE w:val="0"/>
        <w:autoSpaceDN w:val="0"/>
        <w:adjustRightInd w:val="0"/>
        <w:snapToGrid w:val="0"/>
        <w:spacing w:after="156" w:afterLines="50" w:line="360" w:lineRule="auto"/>
        <w:ind w:left="0" w:hanging="7"/>
        <w:jc w:val="left"/>
        <w:rPr>
          <w:rFonts w:ascii="宋体" w:hAnsi="宋体" w:cs="宋体"/>
          <w:color w:val="auto"/>
          <w:kern w:val="0"/>
          <w:szCs w:val="21"/>
        </w:rPr>
      </w:pPr>
      <w:r>
        <w:rPr>
          <w:rFonts w:hint="eastAsia" w:ascii="宋体" w:hAnsi="宋体" w:cs="宋体"/>
          <w:color w:val="auto"/>
          <w:kern w:val="0"/>
          <w:szCs w:val="21"/>
        </w:rPr>
        <w:t>技术部分评分标准：见附表三</w:t>
      </w:r>
    </w:p>
    <w:p>
      <w:pPr>
        <w:numPr>
          <w:ilvl w:val="2"/>
          <w:numId w:val="10"/>
        </w:numPr>
        <w:tabs>
          <w:tab w:val="left" w:pos="993"/>
          <w:tab w:val="left" w:pos="1260"/>
        </w:tabs>
        <w:autoSpaceDE w:val="0"/>
        <w:autoSpaceDN w:val="0"/>
        <w:adjustRightInd w:val="0"/>
        <w:snapToGrid w:val="0"/>
        <w:spacing w:after="156" w:afterLines="50" w:line="360" w:lineRule="auto"/>
        <w:ind w:left="840" w:hanging="840"/>
        <w:jc w:val="left"/>
        <w:rPr>
          <w:rFonts w:ascii="宋体" w:hAnsi="宋体" w:cs="宋体"/>
          <w:color w:val="auto"/>
          <w:kern w:val="0"/>
          <w:szCs w:val="21"/>
        </w:rPr>
      </w:pPr>
      <w:r>
        <w:rPr>
          <w:rFonts w:hint="eastAsia" w:ascii="宋体" w:hAnsi="宋体" w:cs="宋体"/>
          <w:color w:val="auto"/>
          <w:kern w:val="0"/>
          <w:szCs w:val="21"/>
        </w:rPr>
        <w:t>报价评分标准：</w:t>
      </w:r>
    </w:p>
    <w:p>
      <w:pPr>
        <w:tabs>
          <w:tab w:val="left" w:pos="993"/>
        </w:tabs>
        <w:autoSpaceDE w:val="0"/>
        <w:autoSpaceDN w:val="0"/>
        <w:adjustRightInd w:val="0"/>
        <w:snapToGrid w:val="0"/>
        <w:spacing w:after="156" w:afterLines="50" w:line="380" w:lineRule="exact"/>
        <w:ind w:left="435" w:hanging="434" w:hangingChars="207"/>
        <w:jc w:val="left"/>
        <w:rPr>
          <w:rFonts w:ascii="宋体" w:hAnsi="宋体" w:cs="宋体"/>
          <w:color w:val="auto"/>
          <w:kern w:val="0"/>
          <w:szCs w:val="21"/>
        </w:rPr>
      </w:pPr>
      <w:r>
        <w:rPr>
          <w:rFonts w:hint="eastAsia" w:ascii="宋体" w:hAnsi="宋体" w:cs="宋体"/>
          <w:color w:val="auto"/>
          <w:kern w:val="0"/>
          <w:szCs w:val="21"/>
        </w:rPr>
        <w:t>（1）政策支持</w:t>
      </w:r>
    </w:p>
    <w:p>
      <w:pPr>
        <w:widowControl/>
        <w:spacing w:line="360" w:lineRule="auto"/>
        <w:ind w:firstLine="210" w:firstLineChars="100"/>
        <w:rPr>
          <w:rFonts w:ascii="宋体" w:hAnsi="宋体" w:cs="宋体"/>
          <w:color w:val="auto"/>
          <w:kern w:val="0"/>
        </w:rPr>
      </w:pPr>
      <w:r>
        <w:rPr>
          <w:rFonts w:hint="eastAsia" w:ascii="宋体" w:hAnsi="宋体" w:cs="宋体"/>
          <w:color w:val="auto"/>
        </w:rPr>
        <w:fldChar w:fldCharType="begin"/>
      </w:r>
      <w:r>
        <w:rPr>
          <w:rFonts w:hint="eastAsia" w:ascii="宋体" w:hAnsi="宋体" w:cs="宋体"/>
          <w:color w:val="auto"/>
        </w:rPr>
        <w:instrText xml:space="preserve"> = 1 \* GB3 \* MERGEFORMAT </w:instrText>
      </w:r>
      <w:r>
        <w:rPr>
          <w:rFonts w:hint="eastAsia" w:ascii="宋体" w:hAnsi="宋体" w:cs="宋体"/>
          <w:color w:val="auto"/>
        </w:rPr>
        <w:fldChar w:fldCharType="separate"/>
      </w:r>
      <w:r>
        <w:rPr>
          <w:rFonts w:hint="eastAsia" w:ascii="宋体" w:hAnsi="宋体" w:cs="宋体"/>
          <w:color w:val="auto"/>
        </w:rPr>
        <w:t>①</w:t>
      </w:r>
      <w:r>
        <w:rPr>
          <w:rFonts w:hint="eastAsia" w:ascii="宋体" w:hAnsi="宋体" w:cs="宋体"/>
          <w:color w:val="auto"/>
        </w:rPr>
        <w:fldChar w:fldCharType="end"/>
      </w:r>
      <w:r>
        <w:rPr>
          <w:rFonts w:hint="eastAsia" w:ascii="宋体" w:hAnsi="宋体" w:cs="宋体"/>
          <w:color w:val="auto"/>
          <w:kern w:val="0"/>
        </w:rPr>
        <w:t>依据财政部工业和信息化部《政府采购促进中小企业发展管理办法》（财库〔2020〕46号）的规定，</w:t>
      </w:r>
      <w:r>
        <w:rPr>
          <w:rFonts w:hint="eastAsia" w:ascii="宋体" w:hAnsi="宋体" w:cs="宋体"/>
          <w:b/>
          <w:bCs/>
          <w:color w:val="auto"/>
          <w:kern w:val="0"/>
          <w:u w:val="single"/>
        </w:rPr>
        <w:t>本次采购非专门面向中小企业，执行如下政府采购政策：小微企业价格扣除比例：6%  ，监狱企业、残疾人福利性单位视同小微企业</w:t>
      </w:r>
      <w:r>
        <w:rPr>
          <w:rFonts w:hint="eastAsia" w:ascii="宋体" w:hAnsi="宋体" w:cs="宋体"/>
          <w:color w:val="auto"/>
          <w:kern w:val="0"/>
        </w:rPr>
        <w:t>；中小企业参加政府采购活动，应当出具本办法规定的《中小企业声明函》。</w:t>
      </w:r>
    </w:p>
    <w:p>
      <w:pPr>
        <w:spacing w:line="380" w:lineRule="exact"/>
        <w:ind w:firstLine="420" w:firstLineChars="200"/>
        <w:rPr>
          <w:rFonts w:ascii="宋体" w:hAnsi="宋体" w:cs="宋体"/>
          <w:color w:val="auto"/>
        </w:rPr>
      </w:pPr>
      <w:r>
        <w:rPr>
          <w:rFonts w:hint="eastAsia" w:ascii="宋体" w:hAnsi="宋体" w:cs="宋体"/>
          <w:color w:val="auto"/>
        </w:rPr>
        <w:t>注：监狱企业、残疾人福利性单位视同小微企业；残疾人福利性单位属于小型、微型企业的，不重复享受政策。</w:t>
      </w:r>
    </w:p>
    <w:p>
      <w:pPr>
        <w:wordWrap w:val="0"/>
        <w:spacing w:line="360" w:lineRule="auto"/>
        <w:ind w:firstLine="420" w:firstLineChars="200"/>
        <w:rPr>
          <w:rFonts w:ascii="宋体" w:hAnsi="宋体" w:cs="宋体"/>
          <w:color w:val="auto"/>
        </w:rPr>
      </w:pPr>
      <w:r>
        <w:rPr>
          <w:rFonts w:hint="eastAsia" w:ascii="宋体" w:hAnsi="宋体" w:cs="宋体"/>
          <w:color w:val="auto"/>
        </w:rPr>
        <w:fldChar w:fldCharType="begin"/>
      </w:r>
      <w:r>
        <w:rPr>
          <w:rFonts w:hint="eastAsia" w:ascii="宋体" w:hAnsi="宋体" w:cs="宋体"/>
          <w:color w:val="auto"/>
        </w:rPr>
        <w:instrText xml:space="preserve"> = 2 \* GB3 \* MERGEFORMAT </w:instrText>
      </w:r>
      <w:r>
        <w:rPr>
          <w:rFonts w:hint="eastAsia" w:ascii="宋体" w:hAnsi="宋体" w:cs="宋体"/>
          <w:color w:val="auto"/>
        </w:rPr>
        <w:fldChar w:fldCharType="separate"/>
      </w:r>
      <w:r>
        <w:rPr>
          <w:rFonts w:hint="eastAsia" w:ascii="宋体" w:hAnsi="宋体" w:cs="宋体"/>
          <w:color w:val="auto"/>
        </w:rPr>
        <w:t>②</w:t>
      </w:r>
      <w:r>
        <w:rPr>
          <w:rFonts w:hint="eastAsia" w:ascii="宋体" w:hAnsi="宋体" w:cs="宋体"/>
          <w:color w:val="auto"/>
        </w:rPr>
        <w:fldChar w:fldCharType="end"/>
      </w:r>
      <w:r>
        <w:rPr>
          <w:rFonts w:hint="eastAsia" w:ascii="宋体" w:hAnsi="宋体" w:cs="宋体"/>
          <w:color w:val="auto"/>
        </w:rPr>
        <w:t>【节能环保】按照《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文件执行。如供应商投标产品符合以上文件的政策支持，给予该项投标产品所占价格的1%的价格扣除，以扣除后的价格参与评审。</w:t>
      </w:r>
    </w:p>
    <w:p>
      <w:pPr>
        <w:wordWrap w:val="0"/>
        <w:spacing w:line="360" w:lineRule="auto"/>
        <w:ind w:firstLine="420" w:firstLineChars="200"/>
        <w:rPr>
          <w:rFonts w:ascii="宋体" w:hAnsi="宋体" w:cs="宋体"/>
          <w:color w:val="auto"/>
        </w:rPr>
      </w:pPr>
      <w:r>
        <w:rPr>
          <w:rFonts w:hint="eastAsia" w:ascii="宋体" w:hAnsi="宋体" w:cs="宋体"/>
          <w:color w:val="auto"/>
        </w:rPr>
        <w:t>须提供产品认证证书（合格有效时间内的）或节能产品查询（http://www.ccgp.gov.cn/search/jnqdchaxun.htm）、环境标志产品查询（http://www.ccgp.gov.cn/search/hbqdchaxun.htm）查询结果截图。</w:t>
      </w:r>
    </w:p>
    <w:p>
      <w:pPr>
        <w:wordWrap w:val="0"/>
        <w:spacing w:line="360" w:lineRule="auto"/>
        <w:ind w:firstLine="420" w:firstLineChars="200"/>
        <w:rPr>
          <w:rFonts w:ascii="宋体" w:hAnsi="宋体" w:cs="宋体"/>
          <w:color w:val="auto"/>
        </w:rPr>
      </w:pPr>
      <w:r>
        <w:rPr>
          <w:rFonts w:hint="eastAsia" w:ascii="宋体" w:hAnsi="宋体" w:cs="宋体"/>
          <w:color w:val="auto"/>
        </w:rPr>
        <w:t>未提供单独分项报价或证明材料不全的不给予价格扣除。同一项目包内的节能产品价格扣除只对属于节能产品政府清单内的非强制类产品进行，强制类产品已作为响应时强制性要求不再给予价格扣除。同时被认证为节能产品和环境标志产品的不重复享受价格扣除。</w:t>
      </w:r>
    </w:p>
    <w:p>
      <w:pPr>
        <w:wordWrap w:val="0"/>
        <w:spacing w:line="360" w:lineRule="auto"/>
        <w:rPr>
          <w:rFonts w:ascii="宋体" w:hAnsi="宋体" w:cs="宋体"/>
          <w:color w:val="auto"/>
        </w:rPr>
      </w:pPr>
      <w:r>
        <w:rPr>
          <w:rFonts w:hint="eastAsia" w:ascii="宋体" w:hAnsi="宋体" w:cs="宋体"/>
          <w:color w:val="auto"/>
        </w:rPr>
        <w:t>（2）评审基准价</w:t>
      </w:r>
    </w:p>
    <w:p>
      <w:pPr>
        <w:wordWrap w:val="0"/>
        <w:spacing w:line="360" w:lineRule="auto"/>
        <w:ind w:firstLine="420" w:firstLineChars="200"/>
        <w:rPr>
          <w:rFonts w:ascii="宋体" w:hAnsi="宋体" w:cs="宋体"/>
          <w:color w:val="auto"/>
        </w:rPr>
      </w:pPr>
      <w:r>
        <w:rPr>
          <w:rFonts w:hint="eastAsia" w:ascii="宋体" w:hAnsi="宋体" w:cs="宋体"/>
          <w:color w:val="auto"/>
        </w:rPr>
        <w:t>有效响应文件中的并按2.3.3项（1）进行调整的最后最低报价为评审基准价。</w:t>
      </w:r>
    </w:p>
    <w:p>
      <w:pPr>
        <w:wordWrap w:val="0"/>
        <w:spacing w:after="156" w:afterLines="50" w:line="360" w:lineRule="auto"/>
        <w:rPr>
          <w:rFonts w:ascii="宋体" w:hAnsi="宋体" w:cs="宋体"/>
          <w:color w:val="auto"/>
          <w:kern w:val="0"/>
          <w:szCs w:val="21"/>
        </w:rPr>
      </w:pPr>
      <w:r>
        <w:rPr>
          <w:rFonts w:hint="eastAsia" w:ascii="宋体" w:hAnsi="宋体" w:cs="宋体"/>
          <w:color w:val="auto"/>
        </w:rPr>
        <w:t>（3）供应商报价（按2.3.3项（1）进</w:t>
      </w:r>
      <w:r>
        <w:rPr>
          <w:rFonts w:hint="eastAsia" w:ascii="宋体" w:hAnsi="宋体" w:cs="宋体"/>
          <w:color w:val="auto"/>
          <w:kern w:val="0"/>
          <w:szCs w:val="21"/>
        </w:rPr>
        <w:t>行调整后价格）得分</w:t>
      </w:r>
    </w:p>
    <w:p>
      <w:pPr>
        <w:numPr>
          <w:ilvl w:val="0"/>
          <w:numId w:val="10"/>
        </w:numPr>
        <w:tabs>
          <w:tab w:val="left" w:pos="1077"/>
          <w:tab w:val="left" w:pos="1134"/>
        </w:tabs>
        <w:autoSpaceDE w:val="0"/>
        <w:autoSpaceDN w:val="0"/>
        <w:adjustRightInd w:val="0"/>
        <w:snapToGrid w:val="0"/>
        <w:spacing w:after="156" w:afterLines="50" w:line="360" w:lineRule="auto"/>
        <w:jc w:val="left"/>
        <w:outlineLvl w:val="1"/>
        <w:rPr>
          <w:rFonts w:ascii="宋体" w:hAnsi="宋体" w:cs="宋体"/>
          <w:color w:val="auto"/>
          <w:kern w:val="0"/>
          <w:szCs w:val="21"/>
        </w:rPr>
      </w:pPr>
      <w:bookmarkStart w:id="150" w:name="_Toc26240"/>
      <w:bookmarkStart w:id="151" w:name="_Toc4433571"/>
      <w:bookmarkStart w:id="152" w:name="_Toc3220180"/>
      <w:r>
        <w:rPr>
          <w:rFonts w:hint="eastAsia" w:ascii="宋体" w:hAnsi="宋体" w:cs="宋体"/>
          <w:color w:val="auto"/>
          <w:kern w:val="0"/>
          <w:szCs w:val="21"/>
        </w:rPr>
        <w:t>评审程序</w:t>
      </w:r>
      <w:bookmarkEnd w:id="150"/>
      <w:bookmarkEnd w:id="151"/>
      <w:bookmarkEnd w:id="152"/>
    </w:p>
    <w:p>
      <w:pPr>
        <w:numPr>
          <w:ilvl w:val="1"/>
          <w:numId w:val="10"/>
        </w:numPr>
        <w:tabs>
          <w:tab w:val="left" w:pos="1134"/>
        </w:tabs>
        <w:autoSpaceDE w:val="0"/>
        <w:autoSpaceDN w:val="0"/>
        <w:adjustRightInd w:val="0"/>
        <w:snapToGrid w:val="0"/>
        <w:spacing w:after="156" w:afterLines="50" w:line="360" w:lineRule="auto"/>
        <w:outlineLvl w:val="1"/>
        <w:rPr>
          <w:rFonts w:ascii="宋体" w:hAnsi="宋体" w:cs="宋体"/>
          <w:color w:val="auto"/>
          <w:kern w:val="0"/>
          <w:szCs w:val="21"/>
        </w:rPr>
      </w:pPr>
      <w:bookmarkStart w:id="153" w:name="_Toc27117"/>
      <w:bookmarkStart w:id="154" w:name="_Toc3220181"/>
      <w:bookmarkStart w:id="155" w:name="_Toc4433572"/>
      <w:r>
        <w:rPr>
          <w:rFonts w:hint="eastAsia" w:ascii="宋体" w:hAnsi="宋体" w:cs="宋体"/>
          <w:color w:val="auto"/>
          <w:kern w:val="0"/>
          <w:szCs w:val="21"/>
        </w:rPr>
        <w:t>资格审查及符合性审查</w:t>
      </w:r>
      <w:bookmarkEnd w:id="153"/>
      <w:bookmarkEnd w:id="154"/>
      <w:bookmarkEnd w:id="155"/>
    </w:p>
    <w:p>
      <w:pPr>
        <w:numPr>
          <w:ilvl w:val="2"/>
          <w:numId w:val="10"/>
        </w:numPr>
        <w:tabs>
          <w:tab w:val="left" w:pos="1134"/>
          <w:tab w:val="left" w:pos="1560"/>
        </w:tabs>
        <w:autoSpaceDE w:val="0"/>
        <w:autoSpaceDN w:val="0"/>
        <w:adjustRightInd w:val="0"/>
        <w:snapToGrid w:val="0"/>
        <w:spacing w:after="156" w:afterLines="50" w:line="360" w:lineRule="auto"/>
        <w:ind w:left="638" w:hanging="638"/>
        <w:rPr>
          <w:rFonts w:ascii="宋体" w:hAnsi="宋体" w:cs="宋体"/>
          <w:color w:val="auto"/>
          <w:kern w:val="0"/>
          <w:szCs w:val="21"/>
        </w:rPr>
      </w:pPr>
      <w:r>
        <w:rPr>
          <w:rFonts w:hint="eastAsia" w:ascii="宋体" w:hAnsi="宋体" w:cs="宋体"/>
          <w:color w:val="auto"/>
          <w:kern w:val="0"/>
          <w:szCs w:val="21"/>
        </w:rPr>
        <w:t>磋商小组按附表一所列审查标准，对供应商资格进行审查，以确定供应商是否具备磋  商资格。</w:t>
      </w:r>
    </w:p>
    <w:p>
      <w:pPr>
        <w:numPr>
          <w:ilvl w:val="2"/>
          <w:numId w:val="10"/>
        </w:numPr>
        <w:tabs>
          <w:tab w:val="left" w:pos="1134"/>
          <w:tab w:val="left" w:pos="1418"/>
          <w:tab w:val="left" w:pos="1560"/>
        </w:tabs>
        <w:autoSpaceDE w:val="0"/>
        <w:autoSpaceDN w:val="0"/>
        <w:adjustRightInd w:val="0"/>
        <w:snapToGrid w:val="0"/>
        <w:spacing w:line="360" w:lineRule="auto"/>
        <w:ind w:left="0" w:firstLine="0"/>
        <w:rPr>
          <w:rFonts w:ascii="宋体" w:hAnsi="宋体" w:cs="宋体"/>
          <w:color w:val="auto"/>
          <w:kern w:val="0"/>
          <w:szCs w:val="21"/>
        </w:rPr>
      </w:pPr>
      <w:r>
        <w:rPr>
          <w:rFonts w:hint="eastAsia" w:ascii="宋体" w:hAnsi="宋体" w:cs="宋体"/>
          <w:color w:val="auto"/>
          <w:kern w:val="0"/>
          <w:szCs w:val="21"/>
        </w:rPr>
        <w:t>磋商小组对符合资格要求的供应商按附表二进行符合性审查，以确定其是否满足磋商文件的实质性要求（见本章内的符合性审查表）。</w:t>
      </w:r>
    </w:p>
    <w:p>
      <w:pPr>
        <w:numPr>
          <w:ilvl w:val="2"/>
          <w:numId w:val="10"/>
        </w:numPr>
        <w:tabs>
          <w:tab w:val="left" w:pos="1134"/>
          <w:tab w:val="left" w:pos="1560"/>
        </w:tabs>
        <w:autoSpaceDE w:val="0"/>
        <w:autoSpaceDN w:val="0"/>
        <w:adjustRightInd w:val="0"/>
        <w:snapToGrid w:val="0"/>
        <w:spacing w:after="156" w:afterLines="50" w:line="400" w:lineRule="exact"/>
        <w:ind w:left="18" w:hanging="18"/>
        <w:rPr>
          <w:rFonts w:ascii="宋体" w:hAnsi="宋体" w:cs="宋体"/>
          <w:color w:val="auto"/>
          <w:kern w:val="0"/>
          <w:szCs w:val="21"/>
        </w:rPr>
      </w:pPr>
      <w:r>
        <w:rPr>
          <w:rFonts w:hint="eastAsia" w:ascii="宋体" w:hAnsi="宋体" w:cs="宋体"/>
          <w:color w:val="auto"/>
          <w:kern w:val="0"/>
          <w:szCs w:val="21"/>
        </w:rPr>
        <w:t>磋商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pPr>
        <w:tabs>
          <w:tab w:val="left" w:pos="993"/>
          <w:tab w:val="left" w:pos="1418"/>
        </w:tabs>
        <w:autoSpaceDE w:val="0"/>
        <w:autoSpaceDN w:val="0"/>
        <w:adjustRightInd w:val="0"/>
        <w:snapToGrid w:val="0"/>
        <w:spacing w:before="120" w:after="156" w:afterLines="50" w:line="400" w:lineRule="exact"/>
        <w:ind w:left="436" w:leftChars="200" w:hanging="16" w:hangingChars="8"/>
        <w:rPr>
          <w:rFonts w:ascii="宋体" w:hAnsi="宋体" w:cs="宋体"/>
          <w:color w:val="auto"/>
          <w:kern w:val="0"/>
          <w:szCs w:val="21"/>
        </w:rPr>
      </w:pPr>
      <w:r>
        <w:rPr>
          <w:rFonts w:hint="eastAsia" w:ascii="宋体" w:hAnsi="宋体" w:cs="宋体"/>
          <w:color w:val="auto"/>
          <w:kern w:val="0"/>
          <w:szCs w:val="21"/>
        </w:rPr>
        <w:t>磋商小组不接受供应商主动提出的澄清、说明或补正。</w:t>
      </w:r>
    </w:p>
    <w:p>
      <w:pPr>
        <w:tabs>
          <w:tab w:val="left" w:pos="993"/>
          <w:tab w:val="left" w:pos="1418"/>
        </w:tabs>
        <w:autoSpaceDE w:val="0"/>
        <w:autoSpaceDN w:val="0"/>
        <w:adjustRightInd w:val="0"/>
        <w:snapToGrid w:val="0"/>
        <w:spacing w:before="120" w:after="156" w:afterLines="50" w:line="400" w:lineRule="exact"/>
        <w:ind w:left="420" w:leftChars="200"/>
        <w:rPr>
          <w:rFonts w:ascii="宋体" w:hAnsi="宋体" w:cs="宋体"/>
          <w:color w:val="auto"/>
          <w:kern w:val="0"/>
          <w:szCs w:val="21"/>
        </w:rPr>
      </w:pPr>
      <w:r>
        <w:rPr>
          <w:rFonts w:hint="eastAsia" w:ascii="宋体" w:hAnsi="宋体" w:cs="宋体"/>
          <w:color w:val="auto"/>
          <w:kern w:val="0"/>
          <w:szCs w:val="21"/>
        </w:rPr>
        <w:t>供应商的书面澄清、说明和补正属于响应文件的组成部分。</w:t>
      </w:r>
    </w:p>
    <w:p>
      <w:pPr>
        <w:tabs>
          <w:tab w:val="left" w:pos="993"/>
          <w:tab w:val="left" w:pos="1418"/>
        </w:tabs>
        <w:autoSpaceDE w:val="0"/>
        <w:autoSpaceDN w:val="0"/>
        <w:adjustRightInd w:val="0"/>
        <w:snapToGrid w:val="0"/>
        <w:spacing w:before="120" w:after="156" w:afterLines="50" w:line="400" w:lineRule="exact"/>
        <w:ind w:left="17" w:leftChars="8" w:firstLine="401" w:firstLineChars="191"/>
        <w:rPr>
          <w:rFonts w:ascii="宋体" w:hAnsi="宋体" w:cs="宋体"/>
          <w:color w:val="auto"/>
          <w:kern w:val="0"/>
          <w:szCs w:val="21"/>
        </w:rPr>
      </w:pPr>
      <w:r>
        <w:rPr>
          <w:rFonts w:hint="eastAsia" w:ascii="宋体" w:hAnsi="宋体" w:cs="宋体"/>
          <w:color w:val="auto"/>
          <w:kern w:val="0"/>
          <w:szCs w:val="21"/>
        </w:rPr>
        <w:t>磋商小组对供应商提交的澄清、说明或补正有疑问的，可以要求供应商进一步澄清、说明或补正，直至满足评审小组的要求。</w:t>
      </w:r>
    </w:p>
    <w:p>
      <w:pPr>
        <w:numPr>
          <w:ilvl w:val="2"/>
          <w:numId w:val="10"/>
        </w:numPr>
        <w:tabs>
          <w:tab w:val="left" w:pos="1134"/>
          <w:tab w:val="left" w:pos="1560"/>
        </w:tabs>
        <w:autoSpaceDE w:val="0"/>
        <w:autoSpaceDN w:val="0"/>
        <w:adjustRightInd w:val="0"/>
        <w:snapToGrid w:val="0"/>
        <w:spacing w:after="156" w:afterLines="50" w:line="360" w:lineRule="auto"/>
        <w:ind w:left="18" w:hanging="18"/>
        <w:rPr>
          <w:rFonts w:ascii="宋体" w:hAnsi="宋体" w:cs="宋体"/>
          <w:color w:val="auto"/>
          <w:kern w:val="0"/>
          <w:szCs w:val="21"/>
        </w:rPr>
      </w:pPr>
      <w:r>
        <w:rPr>
          <w:rFonts w:hint="eastAsia" w:ascii="宋体" w:hAnsi="宋体" w:cs="宋体"/>
          <w:color w:val="auto"/>
          <w:kern w:val="0"/>
          <w:szCs w:val="21"/>
        </w:rPr>
        <w:t>不具备磋商文件要求的资格或未通过符合性审查的供应商，不参与磋商，由磋商小组告知该供应商。</w:t>
      </w:r>
    </w:p>
    <w:p>
      <w:pPr>
        <w:numPr>
          <w:ilvl w:val="2"/>
          <w:numId w:val="10"/>
        </w:numPr>
        <w:tabs>
          <w:tab w:val="left" w:pos="1134"/>
          <w:tab w:val="left" w:pos="1418"/>
          <w:tab w:val="left" w:pos="1560"/>
        </w:tabs>
        <w:autoSpaceDE w:val="0"/>
        <w:autoSpaceDN w:val="0"/>
        <w:adjustRightInd w:val="0"/>
        <w:snapToGrid w:val="0"/>
        <w:spacing w:after="156" w:afterLines="50" w:line="360" w:lineRule="auto"/>
        <w:ind w:hanging="1418"/>
        <w:rPr>
          <w:rFonts w:ascii="宋体" w:hAnsi="宋体" w:cs="宋体"/>
          <w:color w:val="auto"/>
          <w:kern w:val="0"/>
          <w:szCs w:val="21"/>
        </w:rPr>
      </w:pPr>
      <w:r>
        <w:rPr>
          <w:rFonts w:hint="eastAsia" w:ascii="宋体" w:hAnsi="宋体" w:cs="宋体"/>
          <w:color w:val="auto"/>
          <w:kern w:val="0"/>
          <w:szCs w:val="21"/>
        </w:rPr>
        <w:t>通过资格审查和符合性审查的合格供应商不足3家的，不再进行评审和磋商。</w:t>
      </w:r>
    </w:p>
    <w:p>
      <w:pPr>
        <w:numPr>
          <w:ilvl w:val="1"/>
          <w:numId w:val="10"/>
        </w:numPr>
        <w:tabs>
          <w:tab w:val="left" w:pos="1077"/>
          <w:tab w:val="left" w:pos="1134"/>
        </w:tabs>
        <w:autoSpaceDE w:val="0"/>
        <w:autoSpaceDN w:val="0"/>
        <w:adjustRightInd w:val="0"/>
        <w:snapToGrid w:val="0"/>
        <w:spacing w:after="156" w:afterLines="50" w:line="360" w:lineRule="auto"/>
        <w:outlineLvl w:val="1"/>
        <w:rPr>
          <w:rFonts w:ascii="宋体" w:hAnsi="宋体" w:cs="宋体"/>
          <w:color w:val="auto"/>
          <w:kern w:val="0"/>
          <w:szCs w:val="21"/>
        </w:rPr>
      </w:pPr>
      <w:bookmarkStart w:id="156" w:name="_Toc13861"/>
      <w:bookmarkStart w:id="157" w:name="_Toc4433573"/>
      <w:bookmarkStart w:id="158" w:name="_Toc3220182"/>
      <w:r>
        <w:rPr>
          <w:rFonts w:hint="eastAsia" w:ascii="宋体" w:hAnsi="宋体" w:cs="宋体"/>
          <w:color w:val="auto"/>
          <w:kern w:val="0"/>
          <w:szCs w:val="21"/>
        </w:rPr>
        <w:t>磋商</w:t>
      </w:r>
      <w:bookmarkEnd w:id="156"/>
      <w:bookmarkEnd w:id="157"/>
      <w:bookmarkEnd w:id="158"/>
    </w:p>
    <w:p>
      <w:pPr>
        <w:numPr>
          <w:ilvl w:val="2"/>
          <w:numId w:val="10"/>
        </w:numPr>
        <w:tabs>
          <w:tab w:val="left" w:pos="1134"/>
          <w:tab w:val="left" w:pos="1418"/>
          <w:tab w:val="left" w:pos="1560"/>
        </w:tabs>
        <w:autoSpaceDE w:val="0"/>
        <w:autoSpaceDN w:val="0"/>
        <w:adjustRightInd w:val="0"/>
        <w:snapToGrid w:val="0"/>
        <w:spacing w:after="156" w:afterLines="50" w:line="360" w:lineRule="auto"/>
        <w:ind w:hanging="1418"/>
        <w:rPr>
          <w:rFonts w:ascii="宋体" w:hAnsi="宋体" w:cs="宋体"/>
          <w:color w:val="auto"/>
          <w:kern w:val="0"/>
          <w:szCs w:val="21"/>
        </w:rPr>
      </w:pPr>
      <w:r>
        <w:rPr>
          <w:rFonts w:hint="eastAsia" w:ascii="宋体" w:hAnsi="宋体" w:cs="宋体"/>
          <w:color w:val="auto"/>
          <w:kern w:val="0"/>
          <w:szCs w:val="21"/>
        </w:rPr>
        <w:t>按“供应商须知”第5条规定，由磋商小组与供应商进行磋商。</w:t>
      </w:r>
    </w:p>
    <w:p>
      <w:pPr>
        <w:numPr>
          <w:ilvl w:val="2"/>
          <w:numId w:val="10"/>
        </w:numPr>
        <w:tabs>
          <w:tab w:val="left" w:pos="1134"/>
          <w:tab w:val="left" w:pos="1480"/>
          <w:tab w:val="left" w:pos="1560"/>
        </w:tabs>
        <w:autoSpaceDE w:val="0"/>
        <w:autoSpaceDN w:val="0"/>
        <w:adjustRightInd w:val="0"/>
        <w:snapToGrid w:val="0"/>
        <w:spacing w:after="156" w:afterLines="50" w:line="360" w:lineRule="auto"/>
        <w:ind w:left="18" w:hanging="18"/>
        <w:jc w:val="left"/>
        <w:rPr>
          <w:rFonts w:ascii="宋体" w:hAnsi="宋体" w:cs="宋体"/>
          <w:color w:val="auto"/>
          <w:kern w:val="0"/>
          <w:szCs w:val="21"/>
        </w:rPr>
      </w:pPr>
      <w:r>
        <w:rPr>
          <w:rFonts w:hint="eastAsia" w:ascii="宋体" w:hAnsi="宋体" w:cs="宋体"/>
          <w:color w:val="auto"/>
          <w:kern w:val="0"/>
          <w:szCs w:val="21"/>
        </w:rPr>
        <w:t>磋商过程中，磋商小组可以根据与供应商的磋商情况，在不违反相关法律法规、强制性标准、规范情况下，并经采购人代表同意后，对磋商文件的技术标准、拟签订合同的部分条款进行变动。变动内容是磋商文件的有效组成部分，磋商小组以书面形式通知所有参加磋商的供应商。</w:t>
      </w:r>
    </w:p>
    <w:p>
      <w:pPr>
        <w:numPr>
          <w:ilvl w:val="2"/>
          <w:numId w:val="10"/>
        </w:numPr>
        <w:tabs>
          <w:tab w:val="left" w:pos="1134"/>
          <w:tab w:val="left" w:pos="1560"/>
        </w:tabs>
        <w:autoSpaceDE w:val="0"/>
        <w:autoSpaceDN w:val="0"/>
        <w:adjustRightInd w:val="0"/>
        <w:snapToGrid w:val="0"/>
        <w:spacing w:after="156" w:afterLines="50" w:line="360" w:lineRule="auto"/>
        <w:ind w:left="18" w:hanging="18"/>
        <w:jc w:val="left"/>
        <w:rPr>
          <w:rFonts w:ascii="宋体" w:hAnsi="宋体" w:cs="宋体"/>
          <w:color w:val="auto"/>
          <w:kern w:val="0"/>
          <w:szCs w:val="21"/>
        </w:rPr>
      </w:pPr>
      <w:r>
        <w:rPr>
          <w:rFonts w:hint="eastAsia" w:ascii="宋体" w:hAnsi="宋体" w:cs="宋体"/>
          <w:color w:val="auto"/>
          <w:kern w:val="0"/>
          <w:szCs w:val="21"/>
        </w:rPr>
        <w:t>磋商结束后，磋商小组可以要求所有继续参加磋商的供应商在规定时间内提交最后报价函，提交最后报价函的供应商不得少于3家，但市场竞争不充分的科研项目以及需要扶持的科技成果转化项目除外。</w:t>
      </w:r>
    </w:p>
    <w:p>
      <w:pPr>
        <w:numPr>
          <w:ilvl w:val="1"/>
          <w:numId w:val="10"/>
        </w:numPr>
        <w:tabs>
          <w:tab w:val="left" w:pos="1077"/>
          <w:tab w:val="left" w:pos="1134"/>
        </w:tabs>
        <w:autoSpaceDE w:val="0"/>
        <w:autoSpaceDN w:val="0"/>
        <w:adjustRightInd w:val="0"/>
        <w:snapToGrid w:val="0"/>
        <w:spacing w:after="156" w:afterLines="50" w:line="360" w:lineRule="auto"/>
        <w:jc w:val="left"/>
        <w:outlineLvl w:val="1"/>
        <w:rPr>
          <w:rFonts w:ascii="宋体" w:hAnsi="宋体" w:cs="宋体"/>
          <w:color w:val="auto"/>
          <w:kern w:val="0"/>
          <w:szCs w:val="21"/>
        </w:rPr>
      </w:pPr>
      <w:bookmarkStart w:id="159" w:name="_Toc4433574"/>
      <w:bookmarkStart w:id="160" w:name="_Toc3220183"/>
      <w:bookmarkStart w:id="161" w:name="_Toc17266"/>
      <w:r>
        <w:rPr>
          <w:rFonts w:hint="eastAsia" w:ascii="宋体" w:hAnsi="宋体" w:cs="宋体"/>
          <w:color w:val="auto"/>
          <w:kern w:val="0"/>
          <w:szCs w:val="21"/>
        </w:rPr>
        <w:t>评审</w:t>
      </w:r>
      <w:bookmarkEnd w:id="159"/>
      <w:bookmarkEnd w:id="160"/>
      <w:bookmarkEnd w:id="161"/>
    </w:p>
    <w:p>
      <w:pPr>
        <w:numPr>
          <w:ilvl w:val="2"/>
          <w:numId w:val="10"/>
        </w:numPr>
        <w:tabs>
          <w:tab w:val="left" w:pos="1134"/>
          <w:tab w:val="left" w:pos="1418"/>
          <w:tab w:val="left" w:pos="1560"/>
        </w:tabs>
        <w:autoSpaceDE w:val="0"/>
        <w:autoSpaceDN w:val="0"/>
        <w:adjustRightInd w:val="0"/>
        <w:snapToGrid w:val="0"/>
        <w:spacing w:after="156" w:afterLines="50" w:line="360" w:lineRule="auto"/>
        <w:ind w:hanging="1418"/>
        <w:rPr>
          <w:rFonts w:ascii="宋体" w:hAnsi="宋体" w:cs="宋体"/>
          <w:color w:val="auto"/>
          <w:kern w:val="0"/>
          <w:szCs w:val="21"/>
        </w:rPr>
      </w:pPr>
      <w:r>
        <w:rPr>
          <w:rFonts w:hint="eastAsia" w:ascii="宋体" w:hAnsi="宋体" w:cs="宋体"/>
          <w:color w:val="auto"/>
          <w:kern w:val="0"/>
          <w:szCs w:val="21"/>
        </w:rPr>
        <w:t>比较与评价</w:t>
      </w:r>
    </w:p>
    <w:p>
      <w:pPr>
        <w:tabs>
          <w:tab w:val="left" w:pos="1260"/>
        </w:tabs>
        <w:autoSpaceDE w:val="0"/>
        <w:autoSpaceDN w:val="0"/>
        <w:adjustRightInd w:val="0"/>
        <w:snapToGrid w:val="0"/>
        <w:spacing w:after="156" w:afterLines="50" w:line="360" w:lineRule="auto"/>
        <w:ind w:left="10" w:leftChars="5" w:firstLine="407" w:firstLineChars="194"/>
        <w:jc w:val="left"/>
        <w:rPr>
          <w:rFonts w:ascii="宋体" w:hAnsi="宋体" w:cs="宋体"/>
          <w:color w:val="auto"/>
          <w:kern w:val="0"/>
          <w:szCs w:val="21"/>
        </w:rPr>
      </w:pPr>
      <w:r>
        <w:rPr>
          <w:rFonts w:hint="eastAsia" w:ascii="宋体" w:hAnsi="宋体" w:cs="宋体"/>
          <w:color w:val="auto"/>
          <w:kern w:val="0"/>
          <w:szCs w:val="21"/>
        </w:rPr>
        <w:t>磋商小组按本章第2.3款[商务和技术评审标准]对供应商提交的响应文件（包括最后报价函）进行商务和技术评估，综合比较与评价。</w:t>
      </w:r>
    </w:p>
    <w:p>
      <w:pPr>
        <w:tabs>
          <w:tab w:val="left" w:pos="1260"/>
        </w:tabs>
        <w:autoSpaceDE w:val="0"/>
        <w:autoSpaceDN w:val="0"/>
        <w:adjustRightInd w:val="0"/>
        <w:snapToGrid w:val="0"/>
        <w:spacing w:after="156" w:afterLines="50"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pPr>
        <w:numPr>
          <w:ilvl w:val="2"/>
          <w:numId w:val="10"/>
        </w:numPr>
        <w:tabs>
          <w:tab w:val="left" w:pos="1134"/>
          <w:tab w:val="left" w:pos="1260"/>
          <w:tab w:val="left" w:pos="1560"/>
        </w:tabs>
        <w:autoSpaceDE w:val="0"/>
        <w:autoSpaceDN w:val="0"/>
        <w:adjustRightInd w:val="0"/>
        <w:snapToGrid w:val="0"/>
        <w:spacing w:after="156" w:afterLines="50" w:line="360" w:lineRule="auto"/>
        <w:ind w:left="640" w:hanging="640"/>
        <w:rPr>
          <w:rFonts w:ascii="宋体" w:hAnsi="宋体" w:cs="宋体"/>
          <w:color w:val="auto"/>
          <w:kern w:val="0"/>
          <w:szCs w:val="21"/>
        </w:rPr>
      </w:pPr>
      <w:r>
        <w:rPr>
          <w:rFonts w:hint="eastAsia" w:ascii="宋体" w:hAnsi="宋体" w:cs="宋体"/>
          <w:color w:val="auto"/>
          <w:kern w:val="0"/>
          <w:szCs w:val="21"/>
        </w:rPr>
        <w:t>磋商小组按本章第2.3款规定的量化因素和分值进行打分，并计算出综合评估得分。</w:t>
      </w:r>
    </w:p>
    <w:p>
      <w:pPr>
        <w:tabs>
          <w:tab w:val="left" w:pos="1260"/>
          <w:tab w:val="left" w:pos="1480"/>
        </w:tabs>
        <w:autoSpaceDE w:val="0"/>
        <w:autoSpaceDN w:val="0"/>
        <w:adjustRightInd w:val="0"/>
        <w:snapToGrid w:val="0"/>
        <w:spacing w:after="156" w:afterLines="50" w:line="360" w:lineRule="auto"/>
        <w:jc w:val="left"/>
        <w:rPr>
          <w:rFonts w:ascii="宋体" w:hAnsi="宋体" w:cs="宋体"/>
          <w:color w:val="auto"/>
          <w:kern w:val="0"/>
          <w:szCs w:val="21"/>
        </w:rPr>
      </w:pPr>
      <w:r>
        <w:rPr>
          <w:rFonts w:hint="eastAsia" w:ascii="宋体" w:hAnsi="宋体" w:cs="宋体"/>
          <w:color w:val="auto"/>
          <w:kern w:val="0"/>
          <w:szCs w:val="21"/>
        </w:rPr>
        <w:t>（1）按本章第2.3.1项规定的评审因素和分值对商务部分计算出得分A；</w:t>
      </w:r>
    </w:p>
    <w:p>
      <w:pPr>
        <w:tabs>
          <w:tab w:val="left" w:pos="1260"/>
        </w:tabs>
        <w:autoSpaceDE w:val="0"/>
        <w:autoSpaceDN w:val="0"/>
        <w:adjustRightInd w:val="0"/>
        <w:snapToGrid w:val="0"/>
        <w:spacing w:after="156" w:afterLines="50" w:line="360" w:lineRule="auto"/>
        <w:jc w:val="left"/>
        <w:rPr>
          <w:rFonts w:ascii="宋体" w:hAnsi="宋体" w:cs="宋体"/>
          <w:color w:val="auto"/>
          <w:kern w:val="0"/>
          <w:szCs w:val="21"/>
        </w:rPr>
      </w:pPr>
      <w:r>
        <w:rPr>
          <w:rFonts w:hint="eastAsia" w:ascii="宋体" w:hAnsi="宋体" w:cs="宋体"/>
          <w:color w:val="auto"/>
          <w:kern w:val="0"/>
          <w:szCs w:val="21"/>
        </w:rPr>
        <w:t>（2）按本章第2.3.2项规定的评审因素和分值对技术部分计算出得分B；</w:t>
      </w:r>
    </w:p>
    <w:p>
      <w:pPr>
        <w:tabs>
          <w:tab w:val="left" w:pos="1260"/>
        </w:tabs>
        <w:autoSpaceDE w:val="0"/>
        <w:autoSpaceDN w:val="0"/>
        <w:adjustRightInd w:val="0"/>
        <w:snapToGrid w:val="0"/>
        <w:spacing w:after="156" w:afterLines="50" w:line="360" w:lineRule="auto"/>
        <w:jc w:val="left"/>
        <w:rPr>
          <w:rFonts w:ascii="宋体" w:hAnsi="宋体" w:cs="宋体"/>
          <w:color w:val="auto"/>
          <w:kern w:val="0"/>
          <w:szCs w:val="21"/>
        </w:rPr>
      </w:pPr>
      <w:r>
        <w:rPr>
          <w:rFonts w:hint="eastAsia" w:ascii="宋体" w:hAnsi="宋体" w:cs="宋体"/>
          <w:color w:val="auto"/>
          <w:kern w:val="0"/>
          <w:szCs w:val="21"/>
        </w:rPr>
        <w:t>（3）按本章第2.3.3项规定的评审因素和分值对报价部分计算出得分C。</w:t>
      </w:r>
    </w:p>
    <w:p>
      <w:pPr>
        <w:numPr>
          <w:ilvl w:val="2"/>
          <w:numId w:val="10"/>
        </w:numPr>
        <w:tabs>
          <w:tab w:val="left" w:pos="1134"/>
          <w:tab w:val="left" w:pos="1560"/>
        </w:tabs>
        <w:autoSpaceDE w:val="0"/>
        <w:autoSpaceDN w:val="0"/>
        <w:adjustRightInd w:val="0"/>
        <w:snapToGrid w:val="0"/>
        <w:spacing w:after="156" w:afterLines="50" w:line="360" w:lineRule="auto"/>
        <w:ind w:left="640" w:hanging="640"/>
        <w:rPr>
          <w:rFonts w:ascii="宋体" w:hAnsi="宋体" w:cs="宋体"/>
          <w:color w:val="auto"/>
          <w:kern w:val="0"/>
          <w:szCs w:val="21"/>
        </w:rPr>
      </w:pPr>
      <w:r>
        <w:rPr>
          <w:rFonts w:hint="eastAsia" w:ascii="宋体" w:hAnsi="宋体" w:cs="宋体"/>
          <w:color w:val="auto"/>
          <w:kern w:val="0"/>
          <w:szCs w:val="21"/>
        </w:rPr>
        <w:t>评分分值计算保留小数点后两位，小数点后第三位“四舍五入”。</w:t>
      </w:r>
    </w:p>
    <w:p>
      <w:pPr>
        <w:numPr>
          <w:ilvl w:val="2"/>
          <w:numId w:val="10"/>
        </w:numPr>
        <w:tabs>
          <w:tab w:val="left" w:pos="1134"/>
          <w:tab w:val="left" w:pos="1418"/>
          <w:tab w:val="left" w:pos="1560"/>
        </w:tabs>
        <w:autoSpaceDE w:val="0"/>
        <w:autoSpaceDN w:val="0"/>
        <w:adjustRightInd w:val="0"/>
        <w:snapToGrid w:val="0"/>
        <w:spacing w:after="156" w:afterLines="50" w:line="360" w:lineRule="auto"/>
        <w:ind w:hanging="1418"/>
        <w:rPr>
          <w:rFonts w:ascii="宋体" w:hAnsi="宋体" w:cs="宋体"/>
          <w:color w:val="auto"/>
          <w:kern w:val="0"/>
          <w:szCs w:val="21"/>
        </w:rPr>
      </w:pPr>
      <w:r>
        <w:rPr>
          <w:rFonts w:hint="eastAsia" w:ascii="宋体" w:hAnsi="宋体" w:cs="宋体"/>
          <w:color w:val="auto"/>
          <w:kern w:val="0"/>
          <w:szCs w:val="21"/>
        </w:rPr>
        <w:t>供应商得分=A＋B＋C</w:t>
      </w:r>
    </w:p>
    <w:p>
      <w:pPr>
        <w:tabs>
          <w:tab w:val="left" w:pos="1077"/>
          <w:tab w:val="left" w:pos="1134"/>
        </w:tabs>
        <w:autoSpaceDE w:val="0"/>
        <w:autoSpaceDN w:val="0"/>
        <w:adjustRightInd w:val="0"/>
        <w:snapToGrid w:val="0"/>
        <w:spacing w:after="156" w:afterLines="50" w:line="360" w:lineRule="auto"/>
        <w:jc w:val="left"/>
        <w:rPr>
          <w:rFonts w:ascii="宋体" w:hAnsi="宋体" w:cs="宋体"/>
          <w:color w:val="auto"/>
          <w:kern w:val="0"/>
          <w:szCs w:val="21"/>
        </w:rPr>
      </w:pPr>
      <w:r>
        <w:rPr>
          <w:rFonts w:hint="eastAsia" w:ascii="宋体" w:hAnsi="宋体" w:cs="宋体"/>
          <w:color w:val="auto"/>
          <w:kern w:val="0"/>
          <w:szCs w:val="21"/>
        </w:rPr>
        <w:t>4.3 评审结果</w:t>
      </w:r>
    </w:p>
    <w:p>
      <w:pPr>
        <w:numPr>
          <w:ilvl w:val="2"/>
          <w:numId w:val="10"/>
        </w:numPr>
        <w:tabs>
          <w:tab w:val="left" w:pos="1134"/>
          <w:tab w:val="left" w:pos="1418"/>
          <w:tab w:val="left" w:pos="1560"/>
        </w:tabs>
        <w:autoSpaceDE w:val="0"/>
        <w:autoSpaceDN w:val="0"/>
        <w:adjustRightInd w:val="0"/>
        <w:snapToGrid w:val="0"/>
        <w:spacing w:after="156" w:afterLines="50" w:line="360" w:lineRule="auto"/>
        <w:ind w:left="18" w:hanging="18"/>
        <w:rPr>
          <w:rFonts w:ascii="宋体" w:hAnsi="宋体" w:cs="宋体"/>
          <w:color w:val="auto"/>
          <w:kern w:val="0"/>
          <w:szCs w:val="21"/>
        </w:rPr>
      </w:pPr>
      <w:r>
        <w:rPr>
          <w:rFonts w:hint="eastAsia" w:ascii="宋体" w:hAnsi="宋体" w:cs="宋体"/>
          <w:color w:val="auto"/>
          <w:kern w:val="0"/>
          <w:szCs w:val="21"/>
        </w:rPr>
        <w:t>除第二章“供应商须知”前附表授权直接确定成交供应商外，磋商小组按照得分由高到低的顺序推荐3名成交候选人。</w:t>
      </w:r>
    </w:p>
    <w:p>
      <w:pPr>
        <w:numPr>
          <w:ilvl w:val="2"/>
          <w:numId w:val="10"/>
        </w:numPr>
        <w:tabs>
          <w:tab w:val="left" w:pos="1134"/>
          <w:tab w:val="left" w:pos="1560"/>
        </w:tabs>
        <w:autoSpaceDE w:val="0"/>
        <w:autoSpaceDN w:val="0"/>
        <w:adjustRightInd w:val="0"/>
        <w:snapToGrid w:val="0"/>
        <w:spacing w:after="156" w:afterLines="50" w:line="360" w:lineRule="auto"/>
        <w:ind w:hanging="1418"/>
        <w:rPr>
          <w:rFonts w:ascii="宋体" w:hAnsi="宋体" w:cs="宋体"/>
          <w:color w:val="auto"/>
          <w:kern w:val="0"/>
          <w:szCs w:val="21"/>
        </w:rPr>
      </w:pPr>
      <w:r>
        <w:rPr>
          <w:rFonts w:hint="eastAsia" w:ascii="宋体" w:hAnsi="宋体" w:cs="宋体"/>
          <w:color w:val="auto"/>
          <w:kern w:val="0"/>
          <w:szCs w:val="21"/>
        </w:rPr>
        <w:t>磋商小组完成评审后，应当向采购人提交书面评审报告。</w:t>
      </w:r>
    </w:p>
    <w:p>
      <w:pPr>
        <w:numPr>
          <w:ilvl w:val="2"/>
          <w:numId w:val="11"/>
        </w:numPr>
        <w:tabs>
          <w:tab w:val="left" w:pos="1134"/>
          <w:tab w:val="left" w:pos="1560"/>
        </w:tabs>
        <w:autoSpaceDE w:val="0"/>
        <w:autoSpaceDN w:val="0"/>
        <w:adjustRightInd w:val="0"/>
        <w:snapToGrid w:val="0"/>
        <w:spacing w:after="156" w:afterLines="50"/>
        <w:ind w:left="1134" w:hanging="1134"/>
        <w:rPr>
          <w:rFonts w:ascii="宋体" w:hAnsi="宋体" w:cs="宋体"/>
          <w:color w:val="auto"/>
          <w:kern w:val="0"/>
          <w:sz w:val="24"/>
        </w:rPr>
      </w:pPr>
      <w:r>
        <w:rPr>
          <w:rFonts w:hint="eastAsia" w:ascii="宋体" w:hAnsi="宋体" w:cs="宋体"/>
          <w:color w:val="auto"/>
        </w:rPr>
        <w:br w:type="page"/>
      </w:r>
    </w:p>
    <w:p>
      <w:pPr>
        <w:tabs>
          <w:tab w:val="left" w:pos="-94"/>
          <w:tab w:val="left" w:pos="428"/>
        </w:tabs>
        <w:adjustRightInd w:val="0"/>
        <w:spacing w:line="360" w:lineRule="auto"/>
        <w:jc w:val="center"/>
        <w:textAlignment w:val="baseline"/>
        <w:outlineLvl w:val="1"/>
        <w:rPr>
          <w:rFonts w:ascii="宋体" w:hAnsi="宋体" w:cs="宋体"/>
          <w:b/>
          <w:color w:val="auto"/>
          <w:sz w:val="28"/>
          <w:szCs w:val="28"/>
        </w:rPr>
      </w:pPr>
      <w:bookmarkStart w:id="162" w:name="_Toc9566"/>
      <w:bookmarkStart w:id="163" w:name="_Toc19926"/>
      <w:r>
        <w:rPr>
          <w:rFonts w:hint="eastAsia" w:ascii="宋体" w:hAnsi="宋体" w:cs="宋体"/>
          <w:b/>
          <w:color w:val="auto"/>
          <w:sz w:val="28"/>
          <w:szCs w:val="28"/>
        </w:rPr>
        <w:t>附表一 资格审查表</w:t>
      </w:r>
      <w:bookmarkEnd w:id="162"/>
      <w:bookmarkEnd w:id="163"/>
    </w:p>
    <w:tbl>
      <w:tblPr>
        <w:tblStyle w:val="74"/>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3167"/>
        <w:gridCol w:w="5000"/>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b/>
                <w:color w:val="auto"/>
                <w:szCs w:val="21"/>
              </w:rPr>
            </w:pPr>
            <w:r>
              <w:rPr>
                <w:rFonts w:hint="eastAsia" w:ascii="宋体" w:hAnsi="宋体" w:cs="宋体"/>
                <w:b/>
                <w:color w:val="auto"/>
                <w:szCs w:val="21"/>
              </w:rPr>
              <w:t>序号</w:t>
            </w:r>
          </w:p>
        </w:tc>
        <w:tc>
          <w:tcPr>
            <w:tcW w:w="316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b/>
                <w:color w:val="auto"/>
                <w:szCs w:val="21"/>
              </w:rPr>
            </w:pPr>
            <w:r>
              <w:rPr>
                <w:rFonts w:hint="eastAsia" w:ascii="宋体" w:hAnsi="宋体" w:cs="宋体"/>
                <w:b/>
                <w:color w:val="auto"/>
                <w:szCs w:val="21"/>
              </w:rPr>
              <w:t>评审内容</w:t>
            </w:r>
          </w:p>
        </w:tc>
        <w:tc>
          <w:tcPr>
            <w:tcW w:w="500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b/>
                <w:color w:val="auto"/>
                <w:szCs w:val="21"/>
              </w:rPr>
            </w:pPr>
            <w:r>
              <w:rPr>
                <w:rFonts w:hint="eastAsia" w:ascii="宋体" w:hAnsi="宋体" w:cs="宋体"/>
                <w:b/>
                <w:color w:val="auto"/>
                <w:szCs w:val="21"/>
              </w:rPr>
              <w:t>评审合格标准</w:t>
            </w:r>
          </w:p>
        </w:tc>
        <w:tc>
          <w:tcPr>
            <w:tcW w:w="100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b/>
                <w:color w:val="auto"/>
                <w:szCs w:val="21"/>
              </w:rPr>
            </w:pPr>
            <w:r>
              <w:rPr>
                <w:rFonts w:hint="eastAsia" w:ascii="宋体" w:hAnsi="宋体" w:cs="宋体"/>
                <w:b/>
                <w:color w:val="auto"/>
                <w:szCs w:val="21"/>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b/>
                <w:color w:val="auto"/>
                <w:szCs w:val="21"/>
              </w:rPr>
            </w:pPr>
            <w:r>
              <w:rPr>
                <w:rFonts w:hint="eastAsia" w:ascii="宋体" w:hAnsi="宋体" w:cs="宋体"/>
                <w:color w:val="auto"/>
                <w:szCs w:val="21"/>
              </w:rPr>
              <w:t>1</w:t>
            </w:r>
          </w:p>
        </w:tc>
        <w:tc>
          <w:tcPr>
            <w:tcW w:w="316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left"/>
              <w:rPr>
                <w:rFonts w:ascii="宋体" w:hAnsi="宋体" w:cs="宋体"/>
                <w:b/>
                <w:color w:val="auto"/>
                <w:szCs w:val="21"/>
              </w:rPr>
            </w:pPr>
            <w:r>
              <w:rPr>
                <w:rFonts w:hint="eastAsia" w:ascii="宋体" w:hAnsi="宋体" w:cs="宋体"/>
                <w:color w:val="auto"/>
                <w:szCs w:val="21"/>
              </w:rPr>
              <w:t>供应商名称</w:t>
            </w:r>
          </w:p>
        </w:tc>
        <w:tc>
          <w:tcPr>
            <w:tcW w:w="500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b/>
                <w:color w:val="auto"/>
                <w:szCs w:val="21"/>
              </w:rPr>
            </w:pPr>
            <w:r>
              <w:rPr>
                <w:rFonts w:hint="eastAsia" w:ascii="宋体" w:hAnsi="宋体" w:cs="宋体"/>
                <w:color w:val="auto"/>
                <w:szCs w:val="21"/>
              </w:rPr>
              <w:t>与获取文件供应商、营业执照一致（符合法定变更程序除外）；</w:t>
            </w:r>
          </w:p>
        </w:tc>
        <w:tc>
          <w:tcPr>
            <w:tcW w:w="100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color w:val="auto"/>
                <w:szCs w:val="21"/>
              </w:rPr>
            </w:pPr>
            <w:r>
              <w:rPr>
                <w:rFonts w:hint="eastAsia" w:ascii="宋体" w:hAnsi="宋体" w:cs="宋体"/>
                <w:color w:val="auto"/>
                <w:szCs w:val="21"/>
              </w:rPr>
              <w:t>2</w:t>
            </w:r>
          </w:p>
        </w:tc>
        <w:tc>
          <w:tcPr>
            <w:tcW w:w="316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left"/>
              <w:rPr>
                <w:rFonts w:ascii="宋体" w:hAnsi="宋体" w:cs="宋体"/>
                <w:color w:val="auto"/>
                <w:szCs w:val="21"/>
              </w:rPr>
            </w:pPr>
            <w:r>
              <w:rPr>
                <w:rFonts w:hint="eastAsia" w:ascii="宋体" w:hAnsi="宋体" w:cs="宋体"/>
                <w:color w:val="auto"/>
                <w:szCs w:val="21"/>
              </w:rPr>
              <w:t>具有独立承担民事责任的能力</w:t>
            </w:r>
          </w:p>
        </w:tc>
        <w:tc>
          <w:tcPr>
            <w:tcW w:w="500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color w:val="auto"/>
                <w:szCs w:val="21"/>
              </w:rPr>
            </w:pPr>
            <w:r>
              <w:rPr>
                <w:rFonts w:hint="eastAsia" w:ascii="宋体" w:hAnsi="宋体" w:cs="宋体"/>
                <w:color w:val="auto"/>
                <w:szCs w:val="21"/>
              </w:rPr>
              <w:t>提供了有效的法人营业执照等证明文件</w:t>
            </w:r>
          </w:p>
        </w:tc>
        <w:tc>
          <w:tcPr>
            <w:tcW w:w="100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color w:val="auto"/>
                <w:szCs w:val="21"/>
              </w:rPr>
            </w:pPr>
            <w:r>
              <w:rPr>
                <w:rFonts w:hint="eastAsia" w:ascii="宋体" w:hAnsi="宋体" w:cs="宋体"/>
                <w:color w:val="auto"/>
                <w:szCs w:val="21"/>
              </w:rPr>
              <w:t>3</w:t>
            </w:r>
          </w:p>
        </w:tc>
        <w:tc>
          <w:tcPr>
            <w:tcW w:w="316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left"/>
              <w:rPr>
                <w:rFonts w:ascii="宋体" w:hAnsi="宋体" w:cs="宋体"/>
                <w:color w:val="auto"/>
                <w:szCs w:val="21"/>
              </w:rPr>
            </w:pPr>
            <w:r>
              <w:rPr>
                <w:rFonts w:hint="eastAsia" w:ascii="宋体" w:hAnsi="宋体" w:cs="宋体"/>
                <w:color w:val="auto"/>
                <w:szCs w:val="21"/>
              </w:rPr>
              <w:t>具有健全的财务会计制度</w:t>
            </w:r>
          </w:p>
        </w:tc>
        <w:tc>
          <w:tcPr>
            <w:tcW w:w="500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color w:val="auto"/>
                <w:szCs w:val="21"/>
              </w:rPr>
            </w:pPr>
            <w:r>
              <w:rPr>
                <w:rFonts w:hint="eastAsia" w:ascii="宋体" w:hAnsi="宋体" w:cs="宋体"/>
                <w:color w:val="auto"/>
                <w:szCs w:val="21"/>
              </w:rPr>
              <w:t>提供了上一年度（2021年）经审计的财务报表或其基本开户银行出具的资信证明</w:t>
            </w:r>
          </w:p>
        </w:tc>
        <w:tc>
          <w:tcPr>
            <w:tcW w:w="100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color w:val="auto"/>
                <w:szCs w:val="21"/>
              </w:rPr>
            </w:pPr>
            <w:r>
              <w:rPr>
                <w:rFonts w:hint="eastAsia" w:ascii="宋体" w:hAnsi="宋体" w:cs="宋体"/>
                <w:color w:val="auto"/>
                <w:szCs w:val="21"/>
              </w:rPr>
              <w:t>4</w:t>
            </w:r>
          </w:p>
        </w:tc>
        <w:tc>
          <w:tcPr>
            <w:tcW w:w="316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left"/>
              <w:rPr>
                <w:rFonts w:ascii="宋体" w:hAnsi="宋体" w:cs="宋体"/>
                <w:color w:val="auto"/>
                <w:szCs w:val="21"/>
              </w:rPr>
            </w:pPr>
            <w:r>
              <w:rPr>
                <w:rFonts w:hint="eastAsia" w:ascii="宋体" w:hAnsi="宋体" w:cs="宋体"/>
                <w:color w:val="auto"/>
                <w:szCs w:val="21"/>
              </w:rPr>
              <w:t>具有履行合同所必需的设备和专业技术能力</w:t>
            </w:r>
          </w:p>
        </w:tc>
        <w:tc>
          <w:tcPr>
            <w:tcW w:w="500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color w:val="auto"/>
                <w:szCs w:val="21"/>
              </w:rPr>
            </w:pPr>
            <w:r>
              <w:rPr>
                <w:rFonts w:hint="eastAsia" w:ascii="宋体" w:hAnsi="宋体" w:cs="宋体"/>
                <w:color w:val="auto"/>
                <w:szCs w:val="21"/>
              </w:rPr>
              <w:t>提供了可充分满足履行合同所需设备和专业技术能力的证明材料或承诺</w:t>
            </w:r>
          </w:p>
        </w:tc>
        <w:tc>
          <w:tcPr>
            <w:tcW w:w="100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color w:val="auto"/>
                <w:szCs w:val="21"/>
              </w:rPr>
            </w:pPr>
            <w:r>
              <w:rPr>
                <w:rFonts w:hint="eastAsia" w:ascii="宋体" w:hAnsi="宋体" w:cs="宋体"/>
                <w:color w:val="auto"/>
                <w:szCs w:val="21"/>
              </w:rPr>
              <w:t>5</w:t>
            </w:r>
          </w:p>
        </w:tc>
        <w:tc>
          <w:tcPr>
            <w:tcW w:w="316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宋体" w:hAnsi="宋体" w:cs="宋体"/>
                <w:color w:val="auto"/>
                <w:szCs w:val="21"/>
              </w:rPr>
            </w:pPr>
            <w:r>
              <w:rPr>
                <w:rFonts w:hint="eastAsia" w:asciiTheme="minorEastAsia" w:hAnsiTheme="minorEastAsia" w:eastAsiaTheme="minorEastAsia" w:cstheme="minorEastAsia"/>
                <w:color w:val="auto"/>
                <w:szCs w:val="21"/>
              </w:rPr>
              <w:t>有依法缴纳税收和社会保障资金的良好记录</w:t>
            </w:r>
          </w:p>
        </w:tc>
        <w:tc>
          <w:tcPr>
            <w:tcW w:w="5000" w:type="dxa"/>
            <w:tcBorders>
              <w:top w:val="single" w:color="auto" w:sz="4" w:space="0"/>
              <w:left w:val="single" w:color="auto" w:sz="4" w:space="0"/>
              <w:bottom w:val="single" w:color="auto" w:sz="4" w:space="0"/>
              <w:right w:val="single" w:color="auto" w:sz="4" w:space="0"/>
            </w:tcBorders>
            <w:vAlign w:val="center"/>
          </w:tcPr>
          <w:p>
            <w:pPr>
              <w:snapToGrid w:val="0"/>
              <w:rPr>
                <w:rFonts w:asciiTheme="minorEastAsia" w:hAnsiTheme="minorEastAsia" w:eastAsiaTheme="minorEastAsia"/>
                <w:color w:val="auto"/>
                <w:szCs w:val="21"/>
              </w:rPr>
            </w:pPr>
            <w:r>
              <w:rPr>
                <w:rFonts w:hint="eastAsia" w:asciiTheme="minorEastAsia" w:hAnsiTheme="minorEastAsia" w:eastAsiaTheme="minorEastAsia"/>
                <w:color w:val="auto"/>
                <w:szCs w:val="21"/>
              </w:rPr>
              <w:t>1.提供了近六个月中任何一个月的缴纳增值税或企业所得税的凭证（银行出具的缴税凭证或免税声明函，格式自拟）。</w:t>
            </w:r>
          </w:p>
          <w:p>
            <w:pPr>
              <w:snapToGrid w:val="0"/>
              <w:jc w:val="left"/>
              <w:rPr>
                <w:rFonts w:ascii="宋体" w:hAnsi="宋体" w:cs="宋体"/>
                <w:color w:val="auto"/>
                <w:szCs w:val="21"/>
              </w:rPr>
            </w:pPr>
            <w:r>
              <w:rPr>
                <w:rFonts w:hint="eastAsia" w:asciiTheme="minorEastAsia" w:hAnsiTheme="minorEastAsia" w:eastAsiaTheme="minorEastAsia"/>
                <w:color w:val="auto"/>
                <w:szCs w:val="21"/>
              </w:rPr>
              <w:t>2. 提供了近六个月中任何一个月社会保障资金缴纳记录（专用收据或社会保险缴纳清单）或免缴纳证明。</w:t>
            </w:r>
          </w:p>
        </w:tc>
        <w:tc>
          <w:tcPr>
            <w:tcW w:w="100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color w:val="auto"/>
                <w:szCs w:val="21"/>
              </w:rPr>
            </w:pPr>
            <w:r>
              <w:rPr>
                <w:rFonts w:hint="eastAsia" w:ascii="宋体" w:hAnsi="宋体" w:cs="宋体"/>
                <w:color w:val="auto"/>
                <w:szCs w:val="21"/>
              </w:rPr>
              <w:t>6</w:t>
            </w:r>
          </w:p>
        </w:tc>
        <w:tc>
          <w:tcPr>
            <w:tcW w:w="316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left"/>
              <w:rPr>
                <w:rFonts w:ascii="宋体" w:hAnsi="宋体" w:cs="宋体"/>
                <w:color w:val="auto"/>
                <w:szCs w:val="21"/>
              </w:rPr>
            </w:pPr>
            <w:r>
              <w:rPr>
                <w:rFonts w:hint="eastAsia" w:ascii="宋体" w:hAnsi="宋体" w:cs="宋体"/>
                <w:color w:val="auto"/>
                <w:szCs w:val="21"/>
              </w:rPr>
              <w:t>参加政府采购活动前三年内，在经营活动中没有重大违法记录</w:t>
            </w:r>
          </w:p>
        </w:tc>
        <w:tc>
          <w:tcPr>
            <w:tcW w:w="500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color w:val="auto"/>
                <w:szCs w:val="21"/>
              </w:rPr>
            </w:pPr>
            <w:r>
              <w:rPr>
                <w:rFonts w:hint="eastAsia" w:ascii="宋体" w:hAnsi="宋体" w:cs="宋体"/>
                <w:color w:val="auto"/>
                <w:szCs w:val="21"/>
              </w:rPr>
              <w:t>提供了有效的参加政府采购活动前3年内在经营活动中没有重大违法记录的书面声明</w:t>
            </w:r>
          </w:p>
        </w:tc>
        <w:tc>
          <w:tcPr>
            <w:tcW w:w="100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color w:val="auto"/>
                <w:szCs w:val="21"/>
              </w:rPr>
            </w:pPr>
            <w:r>
              <w:rPr>
                <w:rFonts w:hint="eastAsia" w:ascii="宋体" w:hAnsi="宋体" w:cs="宋体"/>
                <w:color w:val="auto"/>
                <w:szCs w:val="21"/>
              </w:rPr>
              <w:t>7</w:t>
            </w:r>
          </w:p>
        </w:tc>
        <w:tc>
          <w:tcPr>
            <w:tcW w:w="316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left"/>
              <w:rPr>
                <w:rFonts w:ascii="宋体" w:hAnsi="宋体" w:cs="宋体"/>
                <w:color w:val="auto"/>
                <w:szCs w:val="21"/>
              </w:rPr>
            </w:pPr>
            <w:r>
              <w:rPr>
                <w:rFonts w:hint="eastAsia" w:ascii="宋体" w:hAnsi="宋体" w:cs="宋体"/>
                <w:color w:val="auto"/>
                <w:szCs w:val="21"/>
              </w:rPr>
              <w:t>法律、行政法规规定的其他条件</w:t>
            </w:r>
          </w:p>
        </w:tc>
        <w:tc>
          <w:tcPr>
            <w:tcW w:w="500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color w:val="auto"/>
                <w:szCs w:val="21"/>
              </w:rPr>
            </w:pPr>
            <w:r>
              <w:rPr>
                <w:rFonts w:hint="eastAsia" w:ascii="宋体" w:hAnsi="宋体" w:cs="宋体"/>
                <w:color w:val="auto"/>
                <w:szCs w:val="21"/>
              </w:rPr>
              <w:t>不存在违反法律、法规的情况</w:t>
            </w:r>
          </w:p>
        </w:tc>
        <w:tc>
          <w:tcPr>
            <w:tcW w:w="100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left="425"/>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color w:val="auto"/>
                <w:szCs w:val="21"/>
              </w:rPr>
            </w:pPr>
            <w:r>
              <w:rPr>
                <w:rFonts w:hint="eastAsia" w:ascii="宋体" w:hAnsi="宋体" w:cs="宋体"/>
                <w:color w:val="auto"/>
                <w:szCs w:val="21"/>
              </w:rPr>
              <w:t>8</w:t>
            </w:r>
          </w:p>
        </w:tc>
        <w:tc>
          <w:tcPr>
            <w:tcW w:w="316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left"/>
              <w:rPr>
                <w:rFonts w:ascii="宋体" w:hAnsi="宋体" w:cs="宋体"/>
                <w:color w:val="auto"/>
                <w:szCs w:val="21"/>
              </w:rPr>
            </w:pPr>
            <w:r>
              <w:rPr>
                <w:rFonts w:hint="eastAsia" w:ascii="宋体" w:hAnsi="宋体" w:cs="宋体"/>
                <w:color w:val="auto"/>
                <w:szCs w:val="21"/>
              </w:rPr>
              <w:t>“信用中国”网站和中国政府采购网（www.ccgp.gov.cn）查询记录</w:t>
            </w:r>
          </w:p>
        </w:tc>
        <w:tc>
          <w:tcPr>
            <w:tcW w:w="500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color w:val="auto"/>
                <w:szCs w:val="21"/>
              </w:rPr>
            </w:pPr>
            <w:r>
              <w:rPr>
                <w:rFonts w:hint="eastAsia" w:ascii="宋体" w:hAnsi="宋体" w:cs="宋体"/>
                <w:color w:val="auto"/>
                <w:szCs w:val="21"/>
              </w:rPr>
              <w:t>未被“信用中国”网站（</w:t>
            </w:r>
            <w:r>
              <w:rPr>
                <w:color w:val="auto"/>
              </w:rPr>
              <w:fldChar w:fldCharType="begin"/>
            </w:r>
            <w:r>
              <w:rPr>
                <w:color w:val="auto"/>
              </w:rPr>
              <w:instrText xml:space="preserve"> HYPERLINK "http://www.creditchina.gov.cn）中列入失信被执行人和/" </w:instrText>
            </w:r>
            <w:r>
              <w:rPr>
                <w:color w:val="auto"/>
              </w:rPr>
              <w:fldChar w:fldCharType="separate"/>
            </w:r>
            <w:r>
              <w:rPr>
                <w:rFonts w:hint="eastAsia" w:ascii="宋体" w:hAnsi="宋体" w:cs="宋体"/>
                <w:color w:val="auto"/>
                <w:szCs w:val="21"/>
              </w:rPr>
              <w:t>www.creditchina.gov.cn）中列入失信被执行人</w:t>
            </w:r>
            <w:r>
              <w:rPr>
                <w:rFonts w:hint="eastAsia" w:ascii="宋体" w:hAnsi="宋体" w:cs="宋体"/>
                <w:color w:val="auto"/>
                <w:szCs w:val="21"/>
              </w:rPr>
              <w:fldChar w:fldCharType="end"/>
            </w:r>
            <w:r>
              <w:rPr>
                <w:rFonts w:hint="eastAsia" w:ascii="宋体" w:hAnsi="宋体" w:cs="宋体"/>
                <w:color w:val="auto"/>
                <w:szCs w:val="21"/>
              </w:rPr>
              <w:t>或税收违法黑名单、未被中国政府采购网（www.ccgp.gov.cn）列入政府采购严重违法失信行为记录名单中被财政部门禁止参加政府采购活动的供应商（处罚决定规定的时间和地域范围内）</w:t>
            </w:r>
          </w:p>
        </w:tc>
        <w:tc>
          <w:tcPr>
            <w:tcW w:w="100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left="425"/>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color w:val="auto"/>
                <w:szCs w:val="21"/>
              </w:rPr>
            </w:pPr>
            <w:r>
              <w:rPr>
                <w:rFonts w:hint="eastAsia" w:ascii="宋体" w:hAnsi="宋体" w:cs="宋体"/>
                <w:color w:val="auto"/>
                <w:szCs w:val="21"/>
              </w:rPr>
              <w:t>9</w:t>
            </w:r>
          </w:p>
        </w:tc>
        <w:tc>
          <w:tcPr>
            <w:tcW w:w="316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left"/>
              <w:rPr>
                <w:rFonts w:ascii="宋体" w:hAnsi="宋体" w:cs="宋体"/>
                <w:color w:val="auto"/>
                <w:szCs w:val="21"/>
              </w:rPr>
            </w:pPr>
            <w:r>
              <w:rPr>
                <w:rFonts w:hint="eastAsia" w:ascii="宋体" w:hAnsi="宋体" w:cs="宋体"/>
                <w:color w:val="auto"/>
                <w:szCs w:val="21"/>
              </w:rPr>
              <w:t>单位负责人为同一人或者存在直接控股、管理关系的不同单位，不得同时参加本项目的磋商。</w:t>
            </w:r>
          </w:p>
        </w:tc>
        <w:tc>
          <w:tcPr>
            <w:tcW w:w="500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color w:val="auto"/>
                <w:szCs w:val="21"/>
              </w:rPr>
            </w:pPr>
            <w:r>
              <w:rPr>
                <w:rFonts w:hint="eastAsia" w:ascii="宋体" w:hAnsi="宋体" w:cs="宋体"/>
                <w:color w:val="auto"/>
                <w:szCs w:val="21"/>
              </w:rPr>
              <w:t>提供了法人代表、控股股东、控股企业及管理、被管理单位情况声明且各供应商之间不存在单位负责人为同一人或者存在直接控股、管理关系情形。</w:t>
            </w:r>
          </w:p>
        </w:tc>
        <w:tc>
          <w:tcPr>
            <w:tcW w:w="100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left="425"/>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color w:val="auto"/>
                <w:szCs w:val="21"/>
              </w:rPr>
            </w:pPr>
            <w:r>
              <w:rPr>
                <w:rFonts w:hint="eastAsia" w:ascii="宋体" w:hAnsi="宋体" w:cs="宋体"/>
                <w:color w:val="auto"/>
                <w:szCs w:val="21"/>
              </w:rPr>
              <w:t>10</w:t>
            </w:r>
          </w:p>
        </w:tc>
        <w:tc>
          <w:tcPr>
            <w:tcW w:w="316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left"/>
              <w:rPr>
                <w:rFonts w:ascii="宋体" w:hAnsi="宋体" w:cs="宋体"/>
                <w:color w:val="auto"/>
                <w:szCs w:val="21"/>
              </w:rPr>
            </w:pPr>
            <w:r>
              <w:rPr>
                <w:rFonts w:hint="eastAsia" w:ascii="宋体" w:hAnsi="宋体" w:cs="宋体"/>
                <w:color w:val="auto"/>
                <w:szCs w:val="21"/>
              </w:rPr>
              <w:t>为本项目提供整体设计、规范编制或者项目管理、监理、检测等服务的供应商，不得再参加本项目磋商。</w:t>
            </w:r>
          </w:p>
        </w:tc>
        <w:tc>
          <w:tcPr>
            <w:tcW w:w="500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color w:val="auto"/>
                <w:szCs w:val="21"/>
              </w:rPr>
            </w:pPr>
            <w:r>
              <w:rPr>
                <w:rFonts w:hint="eastAsia" w:ascii="宋体" w:hAnsi="宋体" w:cs="宋体"/>
                <w:color w:val="auto"/>
                <w:szCs w:val="21"/>
              </w:rPr>
              <w:t>提供了供应商未为本项目提供整体设计、规范编制或者项目管理、监理、检测等服务的声明。</w:t>
            </w:r>
          </w:p>
        </w:tc>
        <w:tc>
          <w:tcPr>
            <w:tcW w:w="100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left="425"/>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color w:val="auto"/>
                <w:szCs w:val="21"/>
              </w:rPr>
            </w:pPr>
            <w:r>
              <w:rPr>
                <w:rFonts w:hint="eastAsia" w:ascii="宋体" w:hAnsi="宋体" w:cs="宋体"/>
                <w:color w:val="auto"/>
                <w:szCs w:val="21"/>
              </w:rPr>
              <w:t>11</w:t>
            </w:r>
          </w:p>
        </w:tc>
        <w:tc>
          <w:tcPr>
            <w:tcW w:w="316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left"/>
              <w:rPr>
                <w:rFonts w:ascii="宋体" w:hAnsi="宋体" w:cs="宋体"/>
                <w:color w:val="auto"/>
                <w:szCs w:val="21"/>
              </w:rPr>
            </w:pPr>
            <w:r>
              <w:rPr>
                <w:rFonts w:hint="eastAsia" w:ascii="宋体" w:hAnsi="宋体" w:cs="宋体"/>
                <w:color w:val="auto"/>
                <w:szCs w:val="21"/>
              </w:rPr>
              <w:t>联合体（不适用）</w:t>
            </w:r>
          </w:p>
        </w:tc>
        <w:tc>
          <w:tcPr>
            <w:tcW w:w="500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color w:val="auto"/>
                <w:szCs w:val="21"/>
              </w:rPr>
            </w:pPr>
            <w:r>
              <w:rPr>
                <w:rFonts w:hint="eastAsia" w:ascii="宋体" w:hAnsi="宋体" w:cs="宋体"/>
                <w:color w:val="auto"/>
                <w:szCs w:val="21"/>
              </w:rPr>
              <w:t>磋商文件允许联合体参加磋商时，提供了满足磋商文件要求的联合体协议书。</w:t>
            </w:r>
          </w:p>
        </w:tc>
        <w:tc>
          <w:tcPr>
            <w:tcW w:w="100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left="425"/>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color w:val="auto"/>
                <w:szCs w:val="21"/>
              </w:rPr>
            </w:pPr>
            <w:r>
              <w:rPr>
                <w:rFonts w:hint="eastAsia" w:ascii="宋体" w:hAnsi="宋体" w:cs="宋体"/>
                <w:color w:val="auto"/>
                <w:szCs w:val="21"/>
              </w:rPr>
              <w:t>12</w:t>
            </w:r>
          </w:p>
        </w:tc>
        <w:tc>
          <w:tcPr>
            <w:tcW w:w="316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left"/>
              <w:rPr>
                <w:rFonts w:ascii="宋体" w:hAnsi="宋体" w:cs="宋体"/>
                <w:color w:val="auto"/>
                <w:szCs w:val="21"/>
              </w:rPr>
            </w:pPr>
            <w:r>
              <w:rPr>
                <w:rFonts w:hint="eastAsia" w:ascii="宋体" w:hAnsi="宋体" w:cs="宋体"/>
                <w:color w:val="auto"/>
                <w:szCs w:val="21"/>
              </w:rPr>
              <w:t>供应商特定资格条件（不适用）</w:t>
            </w:r>
          </w:p>
        </w:tc>
        <w:tc>
          <w:tcPr>
            <w:tcW w:w="500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cs="宋体"/>
                <w:color w:val="auto"/>
                <w:szCs w:val="21"/>
              </w:rPr>
            </w:pPr>
            <w:r>
              <w:rPr>
                <w:rFonts w:hint="eastAsia" w:ascii="宋体" w:hAnsi="宋体" w:cs="宋体"/>
                <w:color w:val="auto"/>
                <w:szCs w:val="21"/>
              </w:rPr>
              <w:t>提供了证明供应商符合特定资格条件的证明材料</w:t>
            </w:r>
          </w:p>
        </w:tc>
        <w:tc>
          <w:tcPr>
            <w:tcW w:w="100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left="425"/>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cs="宋体"/>
                <w:color w:val="auto"/>
                <w:szCs w:val="21"/>
              </w:rPr>
            </w:pPr>
          </w:p>
        </w:tc>
        <w:tc>
          <w:tcPr>
            <w:tcW w:w="3167"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left="425"/>
              <w:jc w:val="center"/>
              <w:rPr>
                <w:rFonts w:ascii="宋体" w:hAnsi="宋体" w:cs="宋体"/>
                <w:color w:val="auto"/>
                <w:szCs w:val="21"/>
              </w:rPr>
            </w:pPr>
            <w:r>
              <w:rPr>
                <w:rFonts w:hint="eastAsia" w:ascii="宋体" w:hAnsi="宋体" w:cs="宋体"/>
                <w:color w:val="auto"/>
                <w:szCs w:val="21"/>
              </w:rPr>
              <w:t>结论</w:t>
            </w:r>
          </w:p>
        </w:tc>
        <w:tc>
          <w:tcPr>
            <w:tcW w:w="5000"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rFonts w:ascii="宋体" w:hAnsi="宋体" w:cs="宋体"/>
                <w:color w:val="auto"/>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left="425"/>
              <w:jc w:val="center"/>
              <w:rPr>
                <w:rFonts w:ascii="宋体" w:hAnsi="宋体" w:cs="宋体"/>
                <w:color w:val="auto"/>
                <w:szCs w:val="21"/>
              </w:rPr>
            </w:pPr>
          </w:p>
        </w:tc>
      </w:tr>
    </w:tbl>
    <w:p>
      <w:pPr>
        <w:spacing w:line="240" w:lineRule="atLeast"/>
        <w:ind w:left="425"/>
        <w:rPr>
          <w:rFonts w:ascii="宋体" w:hAnsi="宋体" w:cs="宋体"/>
          <w:color w:val="auto"/>
          <w:szCs w:val="21"/>
        </w:rPr>
      </w:pPr>
    </w:p>
    <w:p>
      <w:pPr>
        <w:spacing w:line="240" w:lineRule="atLeast"/>
        <w:ind w:left="425"/>
        <w:jc w:val="left"/>
        <w:rPr>
          <w:rFonts w:ascii="宋体" w:hAnsi="宋体" w:cs="宋体"/>
          <w:b/>
          <w:color w:val="auto"/>
          <w:sz w:val="28"/>
          <w:szCs w:val="28"/>
        </w:rPr>
      </w:pPr>
      <w:r>
        <w:rPr>
          <w:rFonts w:hint="eastAsia" w:ascii="宋体" w:hAnsi="宋体" w:cs="宋体"/>
          <w:color w:val="auto"/>
          <w:szCs w:val="21"/>
        </w:rPr>
        <w:t>注：符合要求用“√”表示，不符合用“×”表示。有一项不符合要求，结论为不合格。</w:t>
      </w:r>
      <w:r>
        <w:rPr>
          <w:rFonts w:hint="eastAsia" w:ascii="宋体" w:hAnsi="宋体" w:cs="宋体"/>
          <w:color w:val="auto"/>
          <w:szCs w:val="21"/>
        </w:rPr>
        <w:br w:type="page"/>
      </w:r>
      <w:bookmarkStart w:id="164" w:name="_Toc3220185"/>
      <w:bookmarkStart w:id="165" w:name="_Toc783"/>
      <w:bookmarkStart w:id="166" w:name="_Toc4433576"/>
      <w:r>
        <w:rPr>
          <w:rFonts w:hint="eastAsia" w:ascii="宋体" w:hAnsi="宋体" w:cs="宋体"/>
          <w:b/>
          <w:color w:val="auto"/>
          <w:sz w:val="28"/>
          <w:szCs w:val="28"/>
        </w:rPr>
        <w:t>附表二 符合性审查表</w:t>
      </w:r>
      <w:bookmarkEnd w:id="164"/>
      <w:bookmarkEnd w:id="165"/>
      <w:bookmarkEnd w:id="166"/>
    </w:p>
    <w:tbl>
      <w:tblPr>
        <w:tblStyle w:val="74"/>
        <w:tblW w:w="98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3"/>
        <w:gridCol w:w="2115"/>
        <w:gridCol w:w="6095"/>
        <w:gridCol w:w="12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4" w:hRule="atLeast"/>
          <w:jc w:val="center"/>
        </w:trPr>
        <w:tc>
          <w:tcPr>
            <w:tcW w:w="433"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jc w:val="center"/>
              <w:textAlignment w:val="baseline"/>
              <w:rPr>
                <w:rFonts w:ascii="宋体" w:hAnsi="宋体" w:cs="宋体"/>
                <w:b/>
                <w:caps/>
                <w:color w:val="auto"/>
                <w:szCs w:val="21"/>
              </w:rPr>
            </w:pPr>
            <w:r>
              <w:rPr>
                <w:rFonts w:hint="eastAsia" w:ascii="宋体" w:hAnsi="宋体" w:cs="宋体"/>
                <w:b/>
                <w:caps/>
                <w:color w:val="auto"/>
                <w:szCs w:val="21"/>
              </w:rPr>
              <w:t>序号</w:t>
            </w:r>
          </w:p>
        </w:tc>
        <w:tc>
          <w:tcPr>
            <w:tcW w:w="211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jc w:val="center"/>
              <w:textAlignment w:val="baseline"/>
              <w:rPr>
                <w:rFonts w:ascii="宋体" w:hAnsi="宋体" w:cs="宋体"/>
                <w:b/>
                <w:caps/>
                <w:color w:val="auto"/>
                <w:szCs w:val="21"/>
              </w:rPr>
            </w:pPr>
            <w:r>
              <w:rPr>
                <w:rFonts w:hint="eastAsia" w:ascii="宋体" w:hAnsi="宋体" w:cs="宋体"/>
                <w:b/>
                <w:caps/>
                <w:color w:val="auto"/>
                <w:szCs w:val="21"/>
              </w:rPr>
              <w:t>评审项目</w:t>
            </w:r>
          </w:p>
        </w:tc>
        <w:tc>
          <w:tcPr>
            <w:tcW w:w="609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jc w:val="center"/>
              <w:textAlignment w:val="baseline"/>
              <w:rPr>
                <w:rFonts w:ascii="宋体" w:hAnsi="宋体" w:cs="宋体"/>
                <w:b/>
                <w:caps/>
                <w:color w:val="auto"/>
                <w:szCs w:val="21"/>
              </w:rPr>
            </w:pPr>
            <w:r>
              <w:rPr>
                <w:rFonts w:hint="eastAsia" w:ascii="宋体" w:hAnsi="宋体" w:cs="宋体"/>
                <w:b/>
                <w:caps/>
                <w:color w:val="auto"/>
                <w:szCs w:val="21"/>
              </w:rPr>
              <w:t>评审标准</w:t>
            </w:r>
          </w:p>
        </w:tc>
        <w:tc>
          <w:tcPr>
            <w:tcW w:w="1237"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jc w:val="center"/>
              <w:textAlignment w:val="baseline"/>
              <w:rPr>
                <w:rFonts w:ascii="宋体" w:hAnsi="宋体" w:cs="宋体"/>
                <w:b/>
                <w:caps/>
                <w:color w:val="auto"/>
                <w:szCs w:val="21"/>
              </w:rPr>
            </w:pPr>
            <w:r>
              <w:rPr>
                <w:rFonts w:hint="eastAsia" w:ascii="宋体" w:hAnsi="宋体" w:cs="宋体"/>
                <w:b/>
                <w:caps/>
                <w:color w:val="auto"/>
                <w:szCs w:val="21"/>
              </w:rPr>
              <w:t>评审结论</w:t>
            </w:r>
          </w:p>
          <w:p>
            <w:pPr>
              <w:tabs>
                <w:tab w:val="left" w:pos="1260"/>
                <w:tab w:val="left" w:pos="1620"/>
              </w:tabs>
              <w:adjustRightInd w:val="0"/>
              <w:snapToGrid w:val="0"/>
              <w:spacing w:line="400" w:lineRule="exact"/>
              <w:jc w:val="center"/>
              <w:textAlignment w:val="baseline"/>
              <w:rPr>
                <w:rFonts w:ascii="宋体" w:hAnsi="宋体" w:cs="宋体"/>
                <w:b/>
                <w:caps/>
                <w:color w:val="auto"/>
                <w:szCs w:val="21"/>
              </w:rPr>
            </w:pPr>
            <w:r>
              <w:rPr>
                <w:rFonts w:hint="eastAsia" w:ascii="宋体" w:hAnsi="宋体" w:cs="宋体"/>
                <w:b/>
                <w:caps/>
                <w:color w:val="auto"/>
                <w:szCs w:val="21"/>
              </w:rPr>
              <w:t>（</w:t>
            </w:r>
            <w:r>
              <w:rPr>
                <w:rFonts w:hint="eastAsia" w:ascii="宋体" w:hAnsi="宋体" w:cs="宋体"/>
                <w:color w:val="auto"/>
                <w:szCs w:val="21"/>
              </w:rPr>
              <w:t>√</w:t>
            </w:r>
            <w:r>
              <w:rPr>
                <w:rFonts w:hint="eastAsia" w:ascii="宋体" w:hAnsi="宋体" w:cs="宋体"/>
                <w:b/>
                <w:caps/>
                <w:color w:val="auto"/>
                <w:szCs w:val="21"/>
              </w:rPr>
              <w:t>/</w:t>
            </w:r>
            <w:r>
              <w:rPr>
                <w:rFonts w:hint="eastAsia" w:ascii="宋体" w:hAnsi="宋体" w:cs="宋体"/>
                <w:color w:val="auto"/>
                <w:szCs w:val="21"/>
              </w:rPr>
              <w:t>×</w:t>
            </w:r>
            <w:r>
              <w:rPr>
                <w:rFonts w:hint="eastAsia" w:ascii="宋体" w:hAnsi="宋体" w:cs="宋体"/>
                <w:b/>
                <w:caps/>
                <w:color w:val="auto"/>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4" w:hRule="atLeast"/>
          <w:jc w:val="center"/>
        </w:trPr>
        <w:tc>
          <w:tcPr>
            <w:tcW w:w="433" w:type="dxa"/>
            <w:tcBorders>
              <w:top w:val="single" w:color="000000" w:sz="6" w:space="0"/>
              <w:left w:val="single" w:color="000000" w:sz="6" w:space="0"/>
              <w:bottom w:val="single" w:color="000000" w:sz="6" w:space="0"/>
              <w:right w:val="single" w:color="000000" w:sz="6" w:space="0"/>
            </w:tcBorders>
            <w:vAlign w:val="center"/>
          </w:tcPr>
          <w:p>
            <w:pPr>
              <w:numPr>
                <w:ilvl w:val="0"/>
                <w:numId w:val="12"/>
              </w:numPr>
              <w:tabs>
                <w:tab w:val="left" w:pos="1260"/>
                <w:tab w:val="left" w:pos="1620"/>
              </w:tabs>
              <w:adjustRightInd w:val="0"/>
              <w:snapToGrid w:val="0"/>
              <w:spacing w:line="400" w:lineRule="exact"/>
              <w:textAlignment w:val="baseline"/>
              <w:rPr>
                <w:rFonts w:ascii="宋体" w:hAnsi="宋体" w:cs="宋体"/>
                <w:color w:val="auto"/>
                <w:szCs w:val="21"/>
              </w:rPr>
            </w:pPr>
          </w:p>
        </w:tc>
        <w:tc>
          <w:tcPr>
            <w:tcW w:w="211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textAlignment w:val="baseline"/>
              <w:rPr>
                <w:rFonts w:ascii="宋体" w:hAnsi="宋体" w:cs="宋体"/>
                <w:color w:val="auto"/>
                <w:szCs w:val="21"/>
              </w:rPr>
            </w:pPr>
            <w:r>
              <w:rPr>
                <w:rFonts w:hint="eastAsia" w:ascii="宋体" w:hAnsi="宋体" w:cs="宋体"/>
                <w:color w:val="auto"/>
                <w:szCs w:val="21"/>
              </w:rPr>
              <w:t>磋商保证金</w:t>
            </w:r>
          </w:p>
        </w:tc>
        <w:tc>
          <w:tcPr>
            <w:tcW w:w="609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textAlignment w:val="baseline"/>
              <w:rPr>
                <w:rFonts w:ascii="宋体" w:hAnsi="宋体" w:cs="宋体"/>
                <w:color w:val="auto"/>
                <w:szCs w:val="21"/>
              </w:rPr>
            </w:pPr>
            <w:r>
              <w:rPr>
                <w:rFonts w:hint="eastAsia" w:ascii="宋体" w:hAnsi="宋体" w:cs="宋体"/>
                <w:color w:val="auto"/>
                <w:szCs w:val="21"/>
              </w:rPr>
              <w:t>按照磋商文件的规定提交磋商保证金（包括形式及金额）；</w:t>
            </w:r>
          </w:p>
        </w:tc>
        <w:tc>
          <w:tcPr>
            <w:tcW w:w="1237"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textAlignment w:val="baseline"/>
              <w:rPr>
                <w:rFonts w:ascii="宋体" w:hAns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4" w:hRule="atLeast"/>
          <w:jc w:val="center"/>
        </w:trPr>
        <w:tc>
          <w:tcPr>
            <w:tcW w:w="433" w:type="dxa"/>
            <w:tcBorders>
              <w:top w:val="single" w:color="000000" w:sz="6" w:space="0"/>
              <w:left w:val="single" w:color="000000" w:sz="6" w:space="0"/>
              <w:bottom w:val="single" w:color="000000" w:sz="6" w:space="0"/>
              <w:right w:val="single" w:color="000000" w:sz="6" w:space="0"/>
            </w:tcBorders>
            <w:vAlign w:val="center"/>
          </w:tcPr>
          <w:p>
            <w:pPr>
              <w:numPr>
                <w:ilvl w:val="0"/>
                <w:numId w:val="12"/>
              </w:numPr>
              <w:tabs>
                <w:tab w:val="left" w:pos="1260"/>
                <w:tab w:val="left" w:pos="1620"/>
              </w:tabs>
              <w:adjustRightInd w:val="0"/>
              <w:snapToGrid w:val="0"/>
              <w:spacing w:line="400" w:lineRule="exact"/>
              <w:textAlignment w:val="baseline"/>
              <w:rPr>
                <w:rFonts w:ascii="宋体" w:hAnsi="宋体" w:cs="宋体"/>
                <w:color w:val="auto"/>
                <w:szCs w:val="21"/>
              </w:rPr>
            </w:pPr>
          </w:p>
        </w:tc>
        <w:tc>
          <w:tcPr>
            <w:tcW w:w="2115"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left"/>
              <w:rPr>
                <w:rFonts w:ascii="宋体" w:hAnsi="宋体" w:cs="宋体"/>
                <w:color w:val="auto"/>
                <w:szCs w:val="21"/>
              </w:rPr>
            </w:pPr>
            <w:r>
              <w:rPr>
                <w:rFonts w:hint="eastAsia" w:ascii="宋体" w:hAnsi="宋体" w:cs="宋体"/>
                <w:color w:val="auto"/>
                <w:szCs w:val="21"/>
              </w:rPr>
              <w:t>磋商代表身份核验</w:t>
            </w:r>
          </w:p>
        </w:tc>
        <w:tc>
          <w:tcPr>
            <w:tcW w:w="6095" w:type="dxa"/>
            <w:tcBorders>
              <w:top w:val="single" w:color="000000" w:sz="6" w:space="0"/>
              <w:left w:val="single" w:color="000000" w:sz="6" w:space="0"/>
              <w:bottom w:val="single" w:color="000000" w:sz="6" w:space="0"/>
              <w:right w:val="single" w:color="000000" w:sz="6" w:space="0"/>
            </w:tcBorders>
            <w:vAlign w:val="center"/>
          </w:tcPr>
          <w:p>
            <w:pPr>
              <w:snapToGrid w:val="0"/>
              <w:spacing w:line="400" w:lineRule="exact"/>
              <w:jc w:val="left"/>
              <w:rPr>
                <w:rFonts w:ascii="宋体" w:hAnsi="宋体" w:cs="宋体"/>
                <w:color w:val="auto"/>
                <w:szCs w:val="21"/>
              </w:rPr>
            </w:pPr>
            <w:r>
              <w:rPr>
                <w:rFonts w:hint="eastAsia" w:ascii="宋体" w:hAnsi="宋体" w:cs="宋体"/>
                <w:color w:val="auto"/>
                <w:szCs w:val="21"/>
              </w:rPr>
              <w:t>供应商法定代表人或委托代理人携带本人身份证及法定代表人证明（或法定代表人授权委托书）原件参加磋商谈判、</w:t>
            </w:r>
            <w:r>
              <w:rPr>
                <w:rFonts w:hint="eastAsia" w:ascii="宋体" w:hAnsi="宋体" w:cs="宋体"/>
                <w:color w:val="auto"/>
              </w:rPr>
              <w:t>参与磋商的</w:t>
            </w:r>
            <w:r>
              <w:rPr>
                <w:rFonts w:hint="eastAsia" w:ascii="宋体" w:hAnsi="宋体" w:cs="宋体"/>
                <w:color w:val="auto"/>
                <w:szCs w:val="21"/>
              </w:rPr>
              <w:t>磋商代表</w:t>
            </w:r>
            <w:r>
              <w:rPr>
                <w:rFonts w:hint="eastAsia" w:ascii="宋体" w:hAnsi="宋体" w:cs="宋体"/>
                <w:color w:val="auto"/>
              </w:rPr>
              <w:t>应是本公司人员，且</w:t>
            </w:r>
            <w:r>
              <w:rPr>
                <w:rFonts w:hint="eastAsia" w:ascii="宋体" w:hAnsi="宋体" w:cs="宋体"/>
                <w:color w:val="auto"/>
                <w:szCs w:val="21"/>
              </w:rPr>
              <w:t>需出具本单位的依法缴纳</w:t>
            </w:r>
            <w:r>
              <w:rPr>
                <w:rFonts w:hint="eastAsia"/>
                <w:color w:val="auto"/>
              </w:rPr>
              <w:t>近6个月内任一个月的社保证明</w:t>
            </w:r>
            <w:r>
              <w:rPr>
                <w:rFonts w:hint="eastAsia" w:ascii="宋体" w:hAnsi="宋体" w:cs="宋体"/>
                <w:color w:val="auto"/>
                <w:szCs w:val="21"/>
              </w:rPr>
              <w:t>或免缴证明。</w:t>
            </w:r>
          </w:p>
        </w:tc>
        <w:tc>
          <w:tcPr>
            <w:tcW w:w="1237"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textAlignment w:val="baseline"/>
              <w:rPr>
                <w:rFonts w:ascii="宋体" w:hAns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4" w:hRule="atLeast"/>
          <w:jc w:val="center"/>
        </w:trPr>
        <w:tc>
          <w:tcPr>
            <w:tcW w:w="433" w:type="dxa"/>
            <w:tcBorders>
              <w:top w:val="single" w:color="000000" w:sz="6" w:space="0"/>
              <w:left w:val="single" w:color="000000" w:sz="6" w:space="0"/>
              <w:bottom w:val="single" w:color="000000" w:sz="6" w:space="0"/>
              <w:right w:val="single" w:color="000000" w:sz="6" w:space="0"/>
            </w:tcBorders>
            <w:vAlign w:val="center"/>
          </w:tcPr>
          <w:p>
            <w:pPr>
              <w:numPr>
                <w:ilvl w:val="0"/>
                <w:numId w:val="12"/>
              </w:numPr>
              <w:tabs>
                <w:tab w:val="left" w:pos="1260"/>
                <w:tab w:val="left" w:pos="1620"/>
              </w:tabs>
              <w:adjustRightInd w:val="0"/>
              <w:snapToGrid w:val="0"/>
              <w:spacing w:line="400" w:lineRule="exact"/>
              <w:textAlignment w:val="baseline"/>
              <w:rPr>
                <w:rFonts w:ascii="宋体" w:hAnsi="宋体" w:cs="宋体"/>
                <w:color w:val="auto"/>
                <w:szCs w:val="21"/>
              </w:rPr>
            </w:pPr>
          </w:p>
        </w:tc>
        <w:tc>
          <w:tcPr>
            <w:tcW w:w="211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textAlignment w:val="baseline"/>
              <w:rPr>
                <w:rFonts w:ascii="宋体" w:hAnsi="宋体" w:cs="宋体"/>
                <w:color w:val="auto"/>
                <w:szCs w:val="21"/>
              </w:rPr>
            </w:pPr>
            <w:r>
              <w:rPr>
                <w:rFonts w:hint="eastAsia" w:ascii="宋体" w:hAnsi="宋体" w:cs="宋体"/>
                <w:color w:val="auto"/>
                <w:szCs w:val="21"/>
              </w:rPr>
              <w:t>响应文件签署盖章</w:t>
            </w:r>
          </w:p>
        </w:tc>
        <w:tc>
          <w:tcPr>
            <w:tcW w:w="609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textAlignment w:val="baseline"/>
              <w:rPr>
                <w:rFonts w:ascii="宋体" w:hAnsi="宋体" w:cs="宋体"/>
                <w:color w:val="auto"/>
                <w:szCs w:val="21"/>
              </w:rPr>
            </w:pPr>
            <w:r>
              <w:rPr>
                <w:rFonts w:hint="eastAsia" w:ascii="宋体" w:hAnsi="宋体" w:cs="宋体"/>
                <w:color w:val="auto"/>
                <w:szCs w:val="21"/>
              </w:rPr>
              <w:t>按磋商文件格式要求加盖了供应商公章和（/或）有法定代表人或其授权代表签字或加盖人名章。</w:t>
            </w:r>
          </w:p>
        </w:tc>
        <w:tc>
          <w:tcPr>
            <w:tcW w:w="1237"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textAlignment w:val="baseline"/>
              <w:rPr>
                <w:rFonts w:ascii="宋体" w:hAns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4" w:hRule="atLeast"/>
          <w:jc w:val="center"/>
        </w:trPr>
        <w:tc>
          <w:tcPr>
            <w:tcW w:w="433" w:type="dxa"/>
            <w:tcBorders>
              <w:top w:val="single" w:color="000000" w:sz="6" w:space="0"/>
              <w:left w:val="single" w:color="000000" w:sz="6" w:space="0"/>
              <w:bottom w:val="single" w:color="000000" w:sz="6" w:space="0"/>
              <w:right w:val="single" w:color="000000" w:sz="6" w:space="0"/>
            </w:tcBorders>
            <w:vAlign w:val="center"/>
          </w:tcPr>
          <w:p>
            <w:pPr>
              <w:numPr>
                <w:ilvl w:val="0"/>
                <w:numId w:val="12"/>
              </w:numPr>
              <w:tabs>
                <w:tab w:val="left" w:pos="1260"/>
                <w:tab w:val="left" w:pos="1620"/>
              </w:tabs>
              <w:adjustRightInd w:val="0"/>
              <w:snapToGrid w:val="0"/>
              <w:spacing w:line="400" w:lineRule="exact"/>
              <w:textAlignment w:val="baseline"/>
              <w:rPr>
                <w:rFonts w:ascii="宋体" w:hAnsi="宋体" w:cs="宋体"/>
                <w:color w:val="auto"/>
                <w:szCs w:val="21"/>
              </w:rPr>
            </w:pPr>
          </w:p>
        </w:tc>
        <w:tc>
          <w:tcPr>
            <w:tcW w:w="211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textAlignment w:val="baseline"/>
              <w:rPr>
                <w:rFonts w:ascii="宋体" w:hAnsi="宋体" w:cs="宋体"/>
                <w:color w:val="auto"/>
                <w:szCs w:val="21"/>
              </w:rPr>
            </w:pPr>
            <w:r>
              <w:rPr>
                <w:rFonts w:hint="eastAsia" w:ascii="宋体" w:hAnsi="宋体" w:cs="宋体"/>
                <w:color w:val="auto"/>
                <w:szCs w:val="21"/>
              </w:rPr>
              <w:t>报价</w:t>
            </w:r>
          </w:p>
        </w:tc>
        <w:tc>
          <w:tcPr>
            <w:tcW w:w="609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textAlignment w:val="baseline"/>
              <w:rPr>
                <w:rFonts w:ascii="宋体" w:hAnsi="宋体" w:cs="宋体"/>
                <w:color w:val="auto"/>
                <w:szCs w:val="21"/>
              </w:rPr>
            </w:pPr>
            <w:r>
              <w:rPr>
                <w:rFonts w:hint="eastAsia" w:ascii="宋体" w:hAnsi="宋体" w:cs="宋体"/>
                <w:color w:val="auto"/>
                <w:szCs w:val="21"/>
              </w:rPr>
              <w:t>供应商报价是固定价且未超过预算金额（磋商文件有最高限价的，报价未超过最高限价）；</w:t>
            </w:r>
          </w:p>
        </w:tc>
        <w:tc>
          <w:tcPr>
            <w:tcW w:w="1237"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textAlignment w:val="baseline"/>
              <w:rPr>
                <w:rFonts w:ascii="宋体" w:hAns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433" w:type="dxa"/>
            <w:tcBorders>
              <w:top w:val="single" w:color="000000" w:sz="6" w:space="0"/>
              <w:left w:val="single" w:color="000000" w:sz="6" w:space="0"/>
              <w:bottom w:val="single" w:color="000000" w:sz="6" w:space="0"/>
              <w:right w:val="single" w:color="000000" w:sz="6" w:space="0"/>
            </w:tcBorders>
            <w:vAlign w:val="center"/>
          </w:tcPr>
          <w:p>
            <w:pPr>
              <w:numPr>
                <w:ilvl w:val="0"/>
                <w:numId w:val="12"/>
              </w:numPr>
              <w:tabs>
                <w:tab w:val="left" w:pos="1260"/>
                <w:tab w:val="left" w:pos="1620"/>
              </w:tabs>
              <w:adjustRightInd w:val="0"/>
              <w:snapToGrid w:val="0"/>
              <w:spacing w:line="400" w:lineRule="exact"/>
              <w:textAlignment w:val="baseline"/>
              <w:rPr>
                <w:rFonts w:ascii="宋体" w:hAnsi="宋体" w:cs="宋体"/>
                <w:color w:val="auto"/>
                <w:szCs w:val="21"/>
              </w:rPr>
            </w:pPr>
          </w:p>
        </w:tc>
        <w:tc>
          <w:tcPr>
            <w:tcW w:w="211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textAlignment w:val="baseline"/>
              <w:rPr>
                <w:rFonts w:ascii="宋体" w:hAnsi="宋体" w:cs="宋体"/>
                <w:color w:val="auto"/>
                <w:szCs w:val="21"/>
              </w:rPr>
            </w:pPr>
            <w:r>
              <w:rPr>
                <w:rFonts w:hint="eastAsia" w:ascii="宋体" w:hAnsi="宋体" w:cs="宋体"/>
                <w:color w:val="auto"/>
                <w:szCs w:val="21"/>
              </w:rPr>
              <w:t>附加条件</w:t>
            </w:r>
          </w:p>
        </w:tc>
        <w:tc>
          <w:tcPr>
            <w:tcW w:w="609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textAlignment w:val="baseline"/>
              <w:rPr>
                <w:rFonts w:ascii="宋体" w:hAnsi="宋体" w:cs="宋体"/>
                <w:color w:val="auto"/>
                <w:szCs w:val="21"/>
              </w:rPr>
            </w:pPr>
            <w:r>
              <w:rPr>
                <w:rFonts w:hint="eastAsia" w:ascii="宋体" w:hAnsi="宋体" w:cs="宋体"/>
                <w:color w:val="auto"/>
                <w:szCs w:val="21"/>
              </w:rPr>
              <w:t>响应文件不含有采购人不能接受的附加条件；</w:t>
            </w:r>
          </w:p>
        </w:tc>
        <w:tc>
          <w:tcPr>
            <w:tcW w:w="1237"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textAlignment w:val="baseline"/>
              <w:rPr>
                <w:rFonts w:ascii="宋体" w:hAns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8" w:hRule="atLeast"/>
          <w:jc w:val="center"/>
        </w:trPr>
        <w:tc>
          <w:tcPr>
            <w:tcW w:w="433" w:type="dxa"/>
            <w:tcBorders>
              <w:top w:val="single" w:color="000000" w:sz="6" w:space="0"/>
              <w:left w:val="single" w:color="000000" w:sz="6" w:space="0"/>
              <w:bottom w:val="single" w:color="000000" w:sz="6" w:space="0"/>
              <w:right w:val="single" w:color="000000" w:sz="6" w:space="0"/>
            </w:tcBorders>
            <w:vAlign w:val="center"/>
          </w:tcPr>
          <w:p>
            <w:pPr>
              <w:numPr>
                <w:ilvl w:val="0"/>
                <w:numId w:val="12"/>
              </w:numPr>
              <w:tabs>
                <w:tab w:val="left" w:pos="1260"/>
                <w:tab w:val="left" w:pos="1620"/>
              </w:tabs>
              <w:adjustRightInd w:val="0"/>
              <w:snapToGrid w:val="0"/>
              <w:spacing w:line="400" w:lineRule="exact"/>
              <w:textAlignment w:val="baseline"/>
              <w:rPr>
                <w:rFonts w:ascii="宋体" w:hAnsi="宋体" w:cs="宋体"/>
                <w:color w:val="auto"/>
                <w:szCs w:val="21"/>
              </w:rPr>
            </w:pPr>
          </w:p>
        </w:tc>
        <w:tc>
          <w:tcPr>
            <w:tcW w:w="211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textAlignment w:val="baseline"/>
              <w:rPr>
                <w:rFonts w:ascii="宋体" w:hAnsi="宋体" w:cs="宋体"/>
                <w:color w:val="auto"/>
                <w:szCs w:val="21"/>
              </w:rPr>
            </w:pPr>
            <w:r>
              <w:rPr>
                <w:rFonts w:hint="eastAsia" w:ascii="宋体" w:hAnsi="宋体" w:cs="宋体"/>
                <w:color w:val="auto"/>
                <w:szCs w:val="21"/>
              </w:rPr>
              <w:t>公平竞争</w:t>
            </w:r>
          </w:p>
        </w:tc>
        <w:tc>
          <w:tcPr>
            <w:tcW w:w="609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textAlignment w:val="baseline"/>
              <w:rPr>
                <w:rFonts w:ascii="宋体" w:hAnsi="宋体" w:cs="宋体"/>
                <w:color w:val="auto"/>
                <w:szCs w:val="21"/>
              </w:rPr>
            </w:pPr>
            <w:r>
              <w:rPr>
                <w:rFonts w:hint="eastAsia" w:ascii="宋体" w:hAnsi="宋体" w:cs="宋体"/>
                <w:color w:val="auto"/>
                <w:szCs w:val="21"/>
              </w:rPr>
              <w:t>遵循公平竞争的原则，没有弄虚作假、恶意串通或妨碍其他供应商的竞争行为，损害采购人或者其他供应商的合法权益；</w:t>
            </w:r>
          </w:p>
          <w:p>
            <w:pPr>
              <w:tabs>
                <w:tab w:val="left" w:pos="1260"/>
                <w:tab w:val="left" w:pos="1620"/>
              </w:tabs>
              <w:adjustRightInd w:val="0"/>
              <w:snapToGrid w:val="0"/>
              <w:spacing w:line="400" w:lineRule="exact"/>
              <w:textAlignment w:val="baseline"/>
              <w:rPr>
                <w:rFonts w:ascii="宋体" w:hAnsi="宋体" w:cs="宋体"/>
                <w:color w:val="auto"/>
                <w:szCs w:val="21"/>
              </w:rPr>
            </w:pPr>
            <w:r>
              <w:rPr>
                <w:rFonts w:hint="eastAsia" w:ascii="宋体" w:hAnsi="宋体" w:cs="宋体"/>
                <w:color w:val="auto"/>
                <w:szCs w:val="21"/>
              </w:rPr>
              <w:t>弄虚作假、相互串通的情形见附注</w:t>
            </w:r>
          </w:p>
        </w:tc>
        <w:tc>
          <w:tcPr>
            <w:tcW w:w="1237"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textAlignment w:val="baseline"/>
              <w:rPr>
                <w:rFonts w:ascii="宋体" w:hAns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433" w:type="dxa"/>
            <w:tcBorders>
              <w:top w:val="single" w:color="000000" w:sz="6" w:space="0"/>
              <w:left w:val="single" w:color="000000" w:sz="6" w:space="0"/>
              <w:bottom w:val="single" w:color="000000" w:sz="6" w:space="0"/>
              <w:right w:val="single" w:color="000000" w:sz="6" w:space="0"/>
            </w:tcBorders>
            <w:vAlign w:val="center"/>
          </w:tcPr>
          <w:p>
            <w:pPr>
              <w:numPr>
                <w:ilvl w:val="0"/>
                <w:numId w:val="12"/>
              </w:numPr>
              <w:tabs>
                <w:tab w:val="left" w:pos="1260"/>
                <w:tab w:val="left" w:pos="1620"/>
              </w:tabs>
              <w:adjustRightInd w:val="0"/>
              <w:snapToGrid w:val="0"/>
              <w:spacing w:line="400" w:lineRule="exact"/>
              <w:textAlignment w:val="baseline"/>
              <w:rPr>
                <w:rFonts w:ascii="宋体" w:hAnsi="宋体" w:cs="宋体"/>
                <w:color w:val="auto"/>
                <w:szCs w:val="21"/>
              </w:rPr>
            </w:pPr>
          </w:p>
        </w:tc>
        <w:tc>
          <w:tcPr>
            <w:tcW w:w="211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textAlignment w:val="baseline"/>
              <w:rPr>
                <w:rFonts w:ascii="宋体" w:hAnsi="宋体" w:cs="宋体"/>
                <w:color w:val="auto"/>
                <w:szCs w:val="21"/>
              </w:rPr>
            </w:pPr>
            <w:r>
              <w:rPr>
                <w:rFonts w:hint="eastAsia" w:ascii="宋体" w:hAnsi="宋体" w:cs="宋体"/>
                <w:color w:val="auto"/>
                <w:szCs w:val="21"/>
              </w:rPr>
              <w:t>其他无效情形</w:t>
            </w:r>
          </w:p>
        </w:tc>
        <w:tc>
          <w:tcPr>
            <w:tcW w:w="609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textAlignment w:val="baseline"/>
              <w:rPr>
                <w:rFonts w:ascii="宋体" w:hAnsi="宋体" w:cs="宋体"/>
                <w:color w:val="auto"/>
                <w:szCs w:val="21"/>
              </w:rPr>
            </w:pPr>
            <w:r>
              <w:rPr>
                <w:rFonts w:hint="eastAsia" w:ascii="宋体" w:hAnsi="宋体" w:cs="宋体"/>
                <w:color w:val="auto"/>
                <w:szCs w:val="21"/>
              </w:rPr>
              <w:t>无法律、法规和磋商文件规定的其他无效情形；</w:t>
            </w:r>
          </w:p>
        </w:tc>
        <w:tc>
          <w:tcPr>
            <w:tcW w:w="1237"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textAlignment w:val="baseline"/>
              <w:rPr>
                <w:rFonts w:ascii="宋体" w:hAns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2" w:hRule="atLeast"/>
          <w:jc w:val="center"/>
        </w:trPr>
        <w:tc>
          <w:tcPr>
            <w:tcW w:w="433" w:type="dxa"/>
            <w:tcBorders>
              <w:top w:val="single" w:color="000000" w:sz="6" w:space="0"/>
              <w:left w:val="single" w:color="000000" w:sz="6" w:space="0"/>
              <w:bottom w:val="single" w:color="000000" w:sz="6" w:space="0"/>
              <w:right w:val="single" w:color="000000" w:sz="6" w:space="0"/>
            </w:tcBorders>
            <w:vAlign w:val="center"/>
          </w:tcPr>
          <w:p>
            <w:pPr>
              <w:numPr>
                <w:ilvl w:val="0"/>
                <w:numId w:val="13"/>
              </w:numPr>
              <w:tabs>
                <w:tab w:val="left" w:pos="1260"/>
                <w:tab w:val="left" w:pos="1620"/>
              </w:tabs>
              <w:adjustRightInd w:val="0"/>
              <w:snapToGrid w:val="0"/>
              <w:spacing w:line="400" w:lineRule="exact"/>
              <w:textAlignment w:val="baseline"/>
              <w:rPr>
                <w:rFonts w:ascii="宋体" w:hAnsi="宋体" w:cs="宋体"/>
                <w:color w:val="auto"/>
                <w:szCs w:val="21"/>
              </w:rPr>
            </w:pPr>
          </w:p>
        </w:tc>
        <w:tc>
          <w:tcPr>
            <w:tcW w:w="211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textAlignment w:val="baseline"/>
              <w:rPr>
                <w:rFonts w:ascii="宋体" w:hAnsi="宋体" w:cs="宋体"/>
                <w:color w:val="auto"/>
                <w:szCs w:val="21"/>
              </w:rPr>
            </w:pPr>
            <w:r>
              <w:rPr>
                <w:rFonts w:hint="eastAsia" w:ascii="宋体" w:hAnsi="宋体" w:cs="宋体"/>
                <w:color w:val="auto"/>
                <w:szCs w:val="21"/>
              </w:rPr>
              <w:t>响应文件有效期</w:t>
            </w:r>
          </w:p>
        </w:tc>
        <w:tc>
          <w:tcPr>
            <w:tcW w:w="609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textAlignment w:val="baseline"/>
              <w:rPr>
                <w:rFonts w:ascii="宋体" w:hAnsi="宋体" w:cs="宋体"/>
                <w:color w:val="auto"/>
                <w:szCs w:val="21"/>
              </w:rPr>
            </w:pPr>
            <w:r>
              <w:rPr>
                <w:rFonts w:hint="eastAsia" w:ascii="宋体" w:hAnsi="宋体" w:cs="宋体"/>
                <w:color w:val="auto"/>
                <w:szCs w:val="21"/>
              </w:rPr>
              <w:t>有效期满足磋商文件要求的；</w:t>
            </w:r>
          </w:p>
        </w:tc>
        <w:tc>
          <w:tcPr>
            <w:tcW w:w="1237"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textAlignment w:val="baseline"/>
              <w:rPr>
                <w:rFonts w:ascii="宋体" w:hAns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4" w:hRule="atLeast"/>
          <w:jc w:val="center"/>
        </w:trPr>
        <w:tc>
          <w:tcPr>
            <w:tcW w:w="433" w:type="dxa"/>
            <w:tcBorders>
              <w:top w:val="single" w:color="000000" w:sz="6" w:space="0"/>
              <w:left w:val="single" w:color="000000" w:sz="6" w:space="0"/>
              <w:bottom w:val="single" w:color="000000" w:sz="6" w:space="0"/>
              <w:right w:val="single" w:color="000000" w:sz="6" w:space="0"/>
            </w:tcBorders>
            <w:vAlign w:val="center"/>
          </w:tcPr>
          <w:p>
            <w:pPr>
              <w:numPr>
                <w:ilvl w:val="0"/>
                <w:numId w:val="13"/>
              </w:numPr>
              <w:tabs>
                <w:tab w:val="left" w:pos="1260"/>
                <w:tab w:val="left" w:pos="1620"/>
              </w:tabs>
              <w:adjustRightInd w:val="0"/>
              <w:snapToGrid w:val="0"/>
              <w:spacing w:line="400" w:lineRule="exact"/>
              <w:textAlignment w:val="baseline"/>
              <w:rPr>
                <w:rFonts w:ascii="宋体" w:hAnsi="宋体" w:cs="宋体"/>
                <w:color w:val="auto"/>
                <w:szCs w:val="21"/>
              </w:rPr>
            </w:pPr>
          </w:p>
        </w:tc>
        <w:tc>
          <w:tcPr>
            <w:tcW w:w="211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textAlignment w:val="baseline"/>
              <w:rPr>
                <w:rFonts w:ascii="宋体" w:hAnsi="宋体" w:cs="宋体"/>
                <w:color w:val="auto"/>
                <w:szCs w:val="21"/>
              </w:rPr>
            </w:pPr>
            <w:r>
              <w:rPr>
                <w:rFonts w:hint="eastAsia" w:ascii="宋体" w:hAnsi="宋体" w:cs="宋体"/>
                <w:color w:val="auto"/>
                <w:szCs w:val="21"/>
              </w:rPr>
              <w:t>备选方案</w:t>
            </w:r>
          </w:p>
        </w:tc>
        <w:tc>
          <w:tcPr>
            <w:tcW w:w="609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textAlignment w:val="baseline"/>
              <w:rPr>
                <w:rFonts w:ascii="宋体" w:hAnsi="宋体" w:cs="宋体"/>
                <w:strike/>
                <w:color w:val="auto"/>
                <w:szCs w:val="21"/>
              </w:rPr>
            </w:pPr>
            <w:r>
              <w:rPr>
                <w:rFonts w:hint="eastAsia" w:ascii="宋体" w:hAnsi="宋体" w:cs="宋体"/>
                <w:color w:val="auto"/>
                <w:szCs w:val="21"/>
              </w:rPr>
              <w:t>供应商不得提交两份或者多份内容不同的响应文件，或者在同一份响应文件中对同一磋商项目有两个或者多个报价；</w:t>
            </w:r>
          </w:p>
        </w:tc>
        <w:tc>
          <w:tcPr>
            <w:tcW w:w="1237"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textAlignment w:val="baseline"/>
              <w:rPr>
                <w:rFonts w:ascii="宋体" w:hAns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433" w:type="dxa"/>
            <w:tcBorders>
              <w:top w:val="single" w:color="000000" w:sz="6" w:space="0"/>
              <w:left w:val="single" w:color="000000" w:sz="6" w:space="0"/>
              <w:bottom w:val="single" w:color="000000" w:sz="6" w:space="0"/>
              <w:right w:val="single" w:color="000000" w:sz="6" w:space="0"/>
            </w:tcBorders>
            <w:vAlign w:val="center"/>
          </w:tcPr>
          <w:p>
            <w:pPr>
              <w:numPr>
                <w:ilvl w:val="0"/>
                <w:numId w:val="13"/>
              </w:numPr>
              <w:tabs>
                <w:tab w:val="left" w:pos="1260"/>
                <w:tab w:val="left" w:pos="1620"/>
              </w:tabs>
              <w:adjustRightInd w:val="0"/>
              <w:snapToGrid w:val="0"/>
              <w:spacing w:line="400" w:lineRule="exact"/>
              <w:textAlignment w:val="baseline"/>
              <w:rPr>
                <w:rFonts w:ascii="宋体" w:hAnsi="宋体" w:cs="宋体"/>
                <w:color w:val="auto"/>
                <w:szCs w:val="21"/>
              </w:rPr>
            </w:pPr>
          </w:p>
        </w:tc>
        <w:tc>
          <w:tcPr>
            <w:tcW w:w="211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textAlignment w:val="baseline"/>
              <w:rPr>
                <w:rFonts w:ascii="宋体" w:hAnsi="宋体" w:cs="宋体"/>
                <w:color w:val="auto"/>
                <w:szCs w:val="21"/>
              </w:rPr>
            </w:pPr>
            <w:r>
              <w:rPr>
                <w:rFonts w:hint="eastAsia" w:ascii="宋体" w:hAnsi="宋体" w:cs="宋体"/>
                <w:color w:val="auto"/>
                <w:szCs w:val="21"/>
              </w:rPr>
              <w:t>响应文件内容</w:t>
            </w:r>
          </w:p>
        </w:tc>
        <w:tc>
          <w:tcPr>
            <w:tcW w:w="609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textAlignment w:val="baseline"/>
              <w:rPr>
                <w:rFonts w:ascii="宋体" w:hAnsi="宋体" w:cs="宋体"/>
                <w:color w:val="auto"/>
                <w:szCs w:val="21"/>
              </w:rPr>
            </w:pPr>
            <w:r>
              <w:rPr>
                <w:rFonts w:hint="eastAsia" w:ascii="宋体" w:hAnsi="宋体" w:cs="宋体"/>
                <w:color w:val="auto"/>
                <w:szCs w:val="21"/>
              </w:rPr>
              <w:t>供应商提供的服务无实质性遗漏；</w:t>
            </w:r>
          </w:p>
        </w:tc>
        <w:tc>
          <w:tcPr>
            <w:tcW w:w="1237"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textAlignment w:val="baseline"/>
              <w:rPr>
                <w:rFonts w:ascii="宋体" w:hAns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433" w:type="dxa"/>
            <w:tcBorders>
              <w:top w:val="single" w:color="000000" w:sz="6" w:space="0"/>
              <w:left w:val="single" w:color="000000" w:sz="6" w:space="0"/>
              <w:bottom w:val="single" w:color="000000" w:sz="6" w:space="0"/>
              <w:right w:val="single" w:color="000000" w:sz="6" w:space="0"/>
            </w:tcBorders>
            <w:vAlign w:val="center"/>
          </w:tcPr>
          <w:p>
            <w:pPr>
              <w:numPr>
                <w:ilvl w:val="0"/>
                <w:numId w:val="13"/>
              </w:numPr>
              <w:tabs>
                <w:tab w:val="left" w:pos="1260"/>
                <w:tab w:val="left" w:pos="1620"/>
              </w:tabs>
              <w:adjustRightInd w:val="0"/>
              <w:snapToGrid w:val="0"/>
              <w:spacing w:line="400" w:lineRule="exact"/>
              <w:textAlignment w:val="baseline"/>
              <w:rPr>
                <w:rFonts w:ascii="宋体" w:hAnsi="宋体" w:cs="宋体"/>
                <w:color w:val="auto"/>
                <w:szCs w:val="21"/>
              </w:rPr>
            </w:pPr>
          </w:p>
        </w:tc>
        <w:tc>
          <w:tcPr>
            <w:tcW w:w="211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textAlignment w:val="baseline"/>
              <w:rPr>
                <w:rFonts w:ascii="宋体" w:hAnsi="宋体" w:cs="宋体"/>
                <w:color w:val="auto"/>
                <w:szCs w:val="21"/>
              </w:rPr>
            </w:pPr>
            <w:r>
              <w:rPr>
                <w:rFonts w:hint="eastAsia" w:ascii="宋体" w:hAnsi="宋体" w:cs="宋体"/>
                <w:color w:val="auto"/>
                <w:szCs w:val="21"/>
              </w:rPr>
              <w:t>质量标准</w:t>
            </w:r>
          </w:p>
        </w:tc>
        <w:tc>
          <w:tcPr>
            <w:tcW w:w="609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textAlignment w:val="baseline"/>
              <w:rPr>
                <w:rFonts w:ascii="宋体" w:hAnsi="宋体" w:cs="宋体"/>
                <w:color w:val="auto"/>
                <w:szCs w:val="21"/>
              </w:rPr>
            </w:pPr>
            <w:r>
              <w:rPr>
                <w:rFonts w:hint="eastAsia" w:ascii="宋体" w:hAnsi="宋体" w:cs="宋体"/>
                <w:color w:val="auto"/>
                <w:szCs w:val="21"/>
              </w:rPr>
              <w:t>符合“采购需求”实质性要求；</w:t>
            </w:r>
          </w:p>
        </w:tc>
        <w:tc>
          <w:tcPr>
            <w:tcW w:w="1237"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textAlignment w:val="baseline"/>
              <w:rPr>
                <w:rFonts w:ascii="宋体" w:hAns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jc w:val="center"/>
        </w:trPr>
        <w:tc>
          <w:tcPr>
            <w:tcW w:w="433" w:type="dxa"/>
            <w:tcBorders>
              <w:top w:val="single" w:color="000000" w:sz="6" w:space="0"/>
              <w:left w:val="single" w:color="000000" w:sz="6" w:space="0"/>
              <w:bottom w:val="single" w:color="000000" w:sz="6" w:space="0"/>
              <w:right w:val="single" w:color="000000" w:sz="6" w:space="0"/>
            </w:tcBorders>
            <w:vAlign w:val="center"/>
          </w:tcPr>
          <w:p>
            <w:pPr>
              <w:numPr>
                <w:ilvl w:val="0"/>
                <w:numId w:val="13"/>
              </w:numPr>
              <w:tabs>
                <w:tab w:val="left" w:pos="1260"/>
                <w:tab w:val="left" w:pos="1620"/>
              </w:tabs>
              <w:adjustRightInd w:val="0"/>
              <w:snapToGrid w:val="0"/>
              <w:spacing w:line="400" w:lineRule="exact"/>
              <w:textAlignment w:val="baseline"/>
              <w:rPr>
                <w:rFonts w:ascii="宋体" w:hAnsi="宋体" w:cs="宋体"/>
                <w:color w:val="auto"/>
                <w:szCs w:val="21"/>
              </w:rPr>
            </w:pPr>
          </w:p>
        </w:tc>
        <w:tc>
          <w:tcPr>
            <w:tcW w:w="211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textAlignment w:val="baseline"/>
              <w:rPr>
                <w:rFonts w:ascii="宋体" w:hAnsi="宋体" w:cs="宋体"/>
                <w:color w:val="auto"/>
                <w:szCs w:val="21"/>
              </w:rPr>
            </w:pPr>
            <w:r>
              <w:rPr>
                <w:rFonts w:hint="eastAsia" w:ascii="宋体" w:hAnsi="宋体" w:cs="宋体"/>
                <w:color w:val="auto"/>
                <w:szCs w:val="21"/>
              </w:rPr>
              <w:t>服务期和服务地点</w:t>
            </w:r>
          </w:p>
        </w:tc>
        <w:tc>
          <w:tcPr>
            <w:tcW w:w="609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textAlignment w:val="baseline"/>
              <w:rPr>
                <w:rFonts w:ascii="宋体" w:hAnsi="宋体" w:cs="宋体"/>
                <w:color w:val="auto"/>
                <w:szCs w:val="21"/>
              </w:rPr>
            </w:pPr>
            <w:r>
              <w:rPr>
                <w:rFonts w:hint="eastAsia" w:ascii="宋体" w:hAnsi="宋体" w:cs="宋体"/>
                <w:color w:val="auto"/>
                <w:szCs w:val="21"/>
              </w:rPr>
              <w:t>满足磋商文件要求；</w:t>
            </w:r>
          </w:p>
        </w:tc>
        <w:tc>
          <w:tcPr>
            <w:tcW w:w="1237" w:type="dxa"/>
            <w:tcBorders>
              <w:top w:val="single" w:color="000000" w:sz="6" w:space="0"/>
              <w:left w:val="single" w:color="000000" w:sz="6" w:space="0"/>
              <w:bottom w:val="single" w:color="auto" w:sz="4" w:space="0"/>
              <w:right w:val="single" w:color="000000" w:sz="6" w:space="0"/>
            </w:tcBorders>
            <w:vAlign w:val="center"/>
          </w:tcPr>
          <w:p>
            <w:pPr>
              <w:tabs>
                <w:tab w:val="left" w:pos="1260"/>
                <w:tab w:val="left" w:pos="1620"/>
              </w:tabs>
              <w:adjustRightInd w:val="0"/>
              <w:snapToGrid w:val="0"/>
              <w:spacing w:line="400" w:lineRule="exact"/>
              <w:textAlignment w:val="baseline"/>
              <w:rPr>
                <w:rFonts w:ascii="宋体" w:hAns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433" w:type="dxa"/>
            <w:tcBorders>
              <w:top w:val="single" w:color="000000" w:sz="6" w:space="0"/>
              <w:left w:val="single" w:color="000000" w:sz="6" w:space="0"/>
              <w:bottom w:val="single" w:color="000000" w:sz="6" w:space="0"/>
              <w:right w:val="single" w:color="000000" w:sz="6" w:space="0"/>
            </w:tcBorders>
            <w:vAlign w:val="center"/>
          </w:tcPr>
          <w:p>
            <w:pPr>
              <w:numPr>
                <w:ilvl w:val="0"/>
                <w:numId w:val="13"/>
              </w:numPr>
              <w:tabs>
                <w:tab w:val="left" w:pos="1260"/>
                <w:tab w:val="left" w:pos="1620"/>
              </w:tabs>
              <w:adjustRightInd w:val="0"/>
              <w:snapToGrid w:val="0"/>
              <w:spacing w:line="400" w:lineRule="exact"/>
              <w:textAlignment w:val="baseline"/>
              <w:rPr>
                <w:rFonts w:ascii="宋体" w:hAnsi="宋体" w:cs="宋体"/>
                <w:color w:val="auto"/>
                <w:szCs w:val="21"/>
              </w:rPr>
            </w:pPr>
          </w:p>
        </w:tc>
        <w:tc>
          <w:tcPr>
            <w:tcW w:w="211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textAlignment w:val="baseline"/>
              <w:rPr>
                <w:rFonts w:ascii="宋体" w:hAnsi="宋体" w:cs="宋体"/>
                <w:color w:val="auto"/>
                <w:szCs w:val="21"/>
              </w:rPr>
            </w:pPr>
            <w:r>
              <w:rPr>
                <w:rFonts w:hint="eastAsia" w:ascii="宋体" w:hAnsi="宋体" w:cs="宋体"/>
                <w:color w:val="auto"/>
                <w:szCs w:val="21"/>
              </w:rPr>
              <w:t>付款方式</w:t>
            </w:r>
          </w:p>
        </w:tc>
        <w:tc>
          <w:tcPr>
            <w:tcW w:w="609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textAlignment w:val="baseline"/>
              <w:rPr>
                <w:rFonts w:ascii="宋体" w:hAnsi="宋体" w:cs="宋体"/>
                <w:color w:val="auto"/>
                <w:szCs w:val="21"/>
              </w:rPr>
            </w:pPr>
            <w:r>
              <w:rPr>
                <w:rFonts w:hint="eastAsia" w:ascii="宋体" w:hAnsi="宋体" w:cs="宋体"/>
                <w:color w:val="auto"/>
                <w:szCs w:val="21"/>
              </w:rPr>
              <w:t>磋商文件不允许偏差时，响应文件无负偏差；</w:t>
            </w:r>
          </w:p>
        </w:tc>
        <w:tc>
          <w:tcPr>
            <w:tcW w:w="1237" w:type="dxa"/>
            <w:tcBorders>
              <w:top w:val="single" w:color="auto" w:sz="4"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textAlignment w:val="baseline"/>
              <w:rPr>
                <w:rFonts w:ascii="宋体" w:hAns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433" w:type="dxa"/>
            <w:tcBorders>
              <w:top w:val="single" w:color="000000" w:sz="6" w:space="0"/>
              <w:left w:val="single" w:color="000000" w:sz="6" w:space="0"/>
              <w:bottom w:val="single" w:color="000000" w:sz="6" w:space="0"/>
              <w:right w:val="single" w:color="000000" w:sz="6" w:space="0"/>
            </w:tcBorders>
            <w:vAlign w:val="center"/>
          </w:tcPr>
          <w:p>
            <w:pPr>
              <w:numPr>
                <w:ilvl w:val="0"/>
                <w:numId w:val="13"/>
              </w:numPr>
              <w:tabs>
                <w:tab w:val="left" w:pos="1260"/>
                <w:tab w:val="left" w:pos="1620"/>
              </w:tabs>
              <w:adjustRightInd w:val="0"/>
              <w:snapToGrid w:val="0"/>
              <w:spacing w:line="400" w:lineRule="exact"/>
              <w:textAlignment w:val="baseline"/>
              <w:rPr>
                <w:rFonts w:ascii="宋体" w:hAnsi="宋体" w:cs="宋体"/>
                <w:color w:val="auto"/>
                <w:szCs w:val="21"/>
              </w:rPr>
            </w:pPr>
          </w:p>
        </w:tc>
        <w:tc>
          <w:tcPr>
            <w:tcW w:w="211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textAlignment w:val="baseline"/>
              <w:rPr>
                <w:rFonts w:ascii="宋体" w:hAnsi="宋体" w:cs="宋体"/>
                <w:color w:val="auto"/>
                <w:szCs w:val="21"/>
              </w:rPr>
            </w:pPr>
            <w:r>
              <w:rPr>
                <w:rFonts w:hint="eastAsia" w:ascii="宋体" w:hAnsi="宋体" w:cs="宋体"/>
                <w:color w:val="auto"/>
                <w:szCs w:val="21"/>
              </w:rPr>
              <w:t>合同主要权利义务</w:t>
            </w:r>
          </w:p>
        </w:tc>
        <w:tc>
          <w:tcPr>
            <w:tcW w:w="609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textAlignment w:val="baseline"/>
              <w:rPr>
                <w:rFonts w:ascii="宋体" w:hAnsi="宋体" w:cs="宋体"/>
                <w:color w:val="auto"/>
                <w:szCs w:val="21"/>
              </w:rPr>
            </w:pPr>
            <w:r>
              <w:rPr>
                <w:rFonts w:hint="eastAsia" w:ascii="宋体" w:hAnsi="宋体" w:cs="宋体"/>
                <w:color w:val="auto"/>
                <w:szCs w:val="21"/>
              </w:rPr>
              <w:t>无实质性偏差</w:t>
            </w:r>
          </w:p>
        </w:tc>
        <w:tc>
          <w:tcPr>
            <w:tcW w:w="1237" w:type="dxa"/>
            <w:tcBorders>
              <w:top w:val="single" w:color="auto" w:sz="4"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textAlignment w:val="baseline"/>
              <w:rPr>
                <w:rFonts w:ascii="宋体" w:hAns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433" w:type="dxa"/>
            <w:tcBorders>
              <w:top w:val="single" w:color="000000" w:sz="6" w:space="0"/>
              <w:left w:val="single" w:color="000000" w:sz="6" w:space="0"/>
              <w:bottom w:val="single" w:color="000000" w:sz="6" w:space="0"/>
              <w:right w:val="single" w:color="000000" w:sz="6" w:space="0"/>
            </w:tcBorders>
            <w:vAlign w:val="center"/>
          </w:tcPr>
          <w:p>
            <w:pPr>
              <w:numPr>
                <w:ilvl w:val="0"/>
                <w:numId w:val="13"/>
              </w:numPr>
              <w:tabs>
                <w:tab w:val="left" w:pos="1260"/>
                <w:tab w:val="left" w:pos="1620"/>
              </w:tabs>
              <w:adjustRightInd w:val="0"/>
              <w:snapToGrid w:val="0"/>
              <w:spacing w:line="400" w:lineRule="exact"/>
              <w:textAlignment w:val="baseline"/>
              <w:rPr>
                <w:rFonts w:ascii="宋体" w:hAnsi="宋体" w:cs="宋体"/>
                <w:color w:val="auto"/>
                <w:szCs w:val="21"/>
              </w:rPr>
            </w:pPr>
          </w:p>
        </w:tc>
        <w:tc>
          <w:tcPr>
            <w:tcW w:w="211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textAlignment w:val="baseline"/>
              <w:rPr>
                <w:rFonts w:ascii="宋体" w:hAnsi="宋体" w:cs="宋体"/>
                <w:color w:val="auto"/>
                <w:szCs w:val="21"/>
              </w:rPr>
            </w:pPr>
            <w:r>
              <w:rPr>
                <w:rFonts w:hint="eastAsia" w:ascii="宋体" w:hAnsi="宋体" w:cs="宋体"/>
                <w:color w:val="auto"/>
                <w:szCs w:val="21"/>
              </w:rPr>
              <w:t>其他</w:t>
            </w:r>
          </w:p>
        </w:tc>
        <w:tc>
          <w:tcPr>
            <w:tcW w:w="609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textAlignment w:val="baseline"/>
              <w:rPr>
                <w:rFonts w:ascii="宋体" w:hAnsi="宋体" w:cs="宋体"/>
                <w:color w:val="auto"/>
                <w:szCs w:val="21"/>
              </w:rPr>
            </w:pPr>
            <w:r>
              <w:rPr>
                <w:rFonts w:hint="eastAsia" w:ascii="宋体" w:hAnsi="宋体" w:cs="宋体"/>
                <w:color w:val="auto"/>
                <w:szCs w:val="21"/>
              </w:rPr>
              <w:t>未出现法律法规规定应当否决的其他情形</w:t>
            </w:r>
          </w:p>
        </w:tc>
        <w:tc>
          <w:tcPr>
            <w:tcW w:w="1237" w:type="dxa"/>
            <w:tcBorders>
              <w:top w:val="single" w:color="auto" w:sz="4"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textAlignment w:val="baseline"/>
              <w:rPr>
                <w:rFonts w:ascii="宋体" w:hAns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6" w:hRule="atLeast"/>
          <w:jc w:val="center"/>
        </w:trPr>
        <w:tc>
          <w:tcPr>
            <w:tcW w:w="2548" w:type="dxa"/>
            <w:gridSpan w:val="2"/>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textAlignment w:val="baseline"/>
              <w:rPr>
                <w:rFonts w:ascii="宋体" w:hAnsi="宋体" w:cs="宋体"/>
                <w:color w:val="auto"/>
                <w:szCs w:val="21"/>
              </w:rPr>
            </w:pPr>
            <w:r>
              <w:rPr>
                <w:rFonts w:hint="eastAsia" w:ascii="宋体" w:hAnsi="宋体" w:cs="宋体"/>
                <w:b/>
                <w:color w:val="auto"/>
                <w:szCs w:val="21"/>
              </w:rPr>
              <w:t>结论（通过或未通过）</w:t>
            </w:r>
          </w:p>
        </w:tc>
        <w:tc>
          <w:tcPr>
            <w:tcW w:w="6095"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textAlignment w:val="baseline"/>
              <w:rPr>
                <w:rFonts w:ascii="宋体" w:hAnsi="宋体" w:cs="宋体"/>
                <w:color w:val="auto"/>
                <w:szCs w:val="21"/>
              </w:rPr>
            </w:pPr>
          </w:p>
        </w:tc>
        <w:tc>
          <w:tcPr>
            <w:tcW w:w="1237" w:type="dxa"/>
            <w:tcBorders>
              <w:top w:val="single" w:color="000000" w:sz="6" w:space="0"/>
              <w:left w:val="single" w:color="000000" w:sz="6" w:space="0"/>
              <w:bottom w:val="single" w:color="000000" w:sz="6" w:space="0"/>
              <w:right w:val="single" w:color="000000" w:sz="6" w:space="0"/>
            </w:tcBorders>
            <w:vAlign w:val="center"/>
          </w:tcPr>
          <w:p>
            <w:pPr>
              <w:tabs>
                <w:tab w:val="left" w:pos="1260"/>
                <w:tab w:val="left" w:pos="1620"/>
              </w:tabs>
              <w:adjustRightInd w:val="0"/>
              <w:snapToGrid w:val="0"/>
              <w:spacing w:line="400" w:lineRule="exact"/>
              <w:textAlignment w:val="baseline"/>
              <w:rPr>
                <w:rFonts w:ascii="宋体" w:hAnsi="宋体" w:cs="宋体"/>
                <w:color w:val="auto"/>
                <w:szCs w:val="21"/>
              </w:rPr>
            </w:pPr>
          </w:p>
        </w:tc>
      </w:tr>
    </w:tbl>
    <w:p>
      <w:pPr>
        <w:tabs>
          <w:tab w:val="left" w:pos="1260"/>
          <w:tab w:val="left" w:pos="1620"/>
        </w:tabs>
        <w:adjustRightInd w:val="0"/>
        <w:spacing w:line="360" w:lineRule="auto"/>
        <w:jc w:val="left"/>
        <w:textAlignment w:val="baseline"/>
        <w:rPr>
          <w:rFonts w:ascii="宋体" w:hAnsi="宋体" w:cs="宋体"/>
          <w:b/>
          <w:color w:val="auto"/>
          <w:sz w:val="20"/>
          <w:szCs w:val="20"/>
        </w:rPr>
      </w:pPr>
      <w:r>
        <w:rPr>
          <w:rFonts w:hint="eastAsia" w:ascii="宋体" w:hAnsi="宋体" w:cs="宋体"/>
          <w:b/>
          <w:color w:val="auto"/>
          <w:sz w:val="20"/>
          <w:szCs w:val="20"/>
        </w:rPr>
        <w:t>注：1、符合磋商文件要求用“</w:t>
      </w:r>
      <w:r>
        <w:rPr>
          <w:rFonts w:hint="eastAsia" w:ascii="宋体" w:hAnsi="宋体" w:cs="宋体"/>
          <w:color w:val="auto"/>
          <w:sz w:val="20"/>
          <w:szCs w:val="20"/>
        </w:rPr>
        <w:t>√</w:t>
      </w:r>
      <w:r>
        <w:rPr>
          <w:rFonts w:hint="eastAsia" w:ascii="宋体" w:hAnsi="宋体" w:cs="宋体"/>
          <w:b/>
          <w:color w:val="auto"/>
          <w:sz w:val="20"/>
          <w:szCs w:val="20"/>
        </w:rPr>
        <w:t>”表示，不符合用“×”表示。有一项不符合要求，结论为不合格。</w:t>
      </w:r>
    </w:p>
    <w:p>
      <w:pPr>
        <w:tabs>
          <w:tab w:val="left" w:pos="1260"/>
          <w:tab w:val="left" w:pos="1620"/>
        </w:tabs>
        <w:adjustRightInd w:val="0"/>
        <w:spacing w:line="360" w:lineRule="auto"/>
        <w:jc w:val="left"/>
        <w:textAlignment w:val="baseline"/>
        <w:rPr>
          <w:rFonts w:ascii="宋体" w:hAnsi="宋体" w:cs="宋体"/>
          <w:b/>
          <w:color w:val="auto"/>
          <w:sz w:val="20"/>
          <w:szCs w:val="20"/>
        </w:rPr>
      </w:pPr>
      <w:r>
        <w:rPr>
          <w:rFonts w:hint="eastAsia" w:ascii="宋体" w:hAnsi="宋体" w:cs="宋体"/>
          <w:b/>
          <w:color w:val="auto"/>
          <w:sz w:val="20"/>
          <w:szCs w:val="20"/>
        </w:rPr>
        <w:t>2、有下列情形之一的，视为供应商相互串通：</w:t>
      </w:r>
    </w:p>
    <w:p>
      <w:pPr>
        <w:tabs>
          <w:tab w:val="left" w:pos="1260"/>
          <w:tab w:val="left" w:pos="1620"/>
        </w:tabs>
        <w:adjustRightInd w:val="0"/>
        <w:spacing w:line="360" w:lineRule="auto"/>
        <w:jc w:val="left"/>
        <w:textAlignment w:val="baseline"/>
        <w:rPr>
          <w:rFonts w:ascii="宋体" w:hAnsi="宋体" w:cs="宋体"/>
          <w:b/>
          <w:color w:val="auto"/>
          <w:sz w:val="20"/>
          <w:szCs w:val="20"/>
        </w:rPr>
      </w:pPr>
      <w:r>
        <w:rPr>
          <w:rFonts w:hint="eastAsia" w:ascii="宋体" w:hAnsi="宋体" w:cs="宋体"/>
          <w:b/>
          <w:color w:val="auto"/>
          <w:sz w:val="20"/>
          <w:szCs w:val="20"/>
        </w:rPr>
        <w:t>（1）不同供应商的响应文件由同一单位或者个人编制；</w:t>
      </w:r>
    </w:p>
    <w:p>
      <w:pPr>
        <w:tabs>
          <w:tab w:val="left" w:pos="1260"/>
          <w:tab w:val="left" w:pos="1620"/>
        </w:tabs>
        <w:adjustRightInd w:val="0"/>
        <w:spacing w:line="360" w:lineRule="auto"/>
        <w:jc w:val="left"/>
        <w:textAlignment w:val="baseline"/>
        <w:rPr>
          <w:rFonts w:ascii="宋体" w:hAnsi="宋体" w:cs="宋体"/>
          <w:b/>
          <w:color w:val="auto"/>
          <w:sz w:val="20"/>
          <w:szCs w:val="20"/>
        </w:rPr>
      </w:pPr>
      <w:r>
        <w:rPr>
          <w:rFonts w:hint="eastAsia" w:ascii="宋体" w:hAnsi="宋体" w:cs="宋体"/>
          <w:b/>
          <w:color w:val="auto"/>
          <w:sz w:val="20"/>
          <w:szCs w:val="20"/>
        </w:rPr>
        <w:t>（2）不同供应商委托同一单位或者个人办理参与磋商事宜；</w:t>
      </w:r>
    </w:p>
    <w:p>
      <w:pPr>
        <w:tabs>
          <w:tab w:val="left" w:pos="1260"/>
          <w:tab w:val="left" w:pos="1620"/>
        </w:tabs>
        <w:adjustRightInd w:val="0"/>
        <w:spacing w:line="360" w:lineRule="auto"/>
        <w:jc w:val="left"/>
        <w:textAlignment w:val="baseline"/>
        <w:rPr>
          <w:rFonts w:ascii="宋体" w:hAnsi="宋体" w:cs="宋体"/>
          <w:b/>
          <w:color w:val="auto"/>
          <w:sz w:val="20"/>
          <w:szCs w:val="20"/>
        </w:rPr>
      </w:pPr>
      <w:r>
        <w:rPr>
          <w:rFonts w:hint="eastAsia" w:ascii="宋体" w:hAnsi="宋体" w:cs="宋体"/>
          <w:b/>
          <w:color w:val="auto"/>
          <w:sz w:val="20"/>
          <w:szCs w:val="20"/>
        </w:rPr>
        <w:t>（3）不同供应商的响应文件载明的项目管理成员或者联系人员为同一人；</w:t>
      </w:r>
    </w:p>
    <w:p>
      <w:pPr>
        <w:tabs>
          <w:tab w:val="left" w:pos="1260"/>
          <w:tab w:val="left" w:pos="1620"/>
        </w:tabs>
        <w:adjustRightInd w:val="0"/>
        <w:spacing w:line="360" w:lineRule="auto"/>
        <w:jc w:val="left"/>
        <w:textAlignment w:val="baseline"/>
        <w:rPr>
          <w:rFonts w:ascii="宋体" w:hAnsi="宋体" w:cs="宋体"/>
          <w:b/>
          <w:color w:val="auto"/>
          <w:sz w:val="20"/>
          <w:szCs w:val="20"/>
        </w:rPr>
      </w:pPr>
      <w:r>
        <w:rPr>
          <w:rFonts w:hint="eastAsia" w:ascii="宋体" w:hAnsi="宋体" w:cs="宋体"/>
          <w:b/>
          <w:color w:val="auto"/>
          <w:sz w:val="20"/>
          <w:szCs w:val="20"/>
        </w:rPr>
        <w:t>（4）不同供应商的响应文件异常一致或者报价呈规律性差异；</w:t>
      </w:r>
    </w:p>
    <w:p>
      <w:pPr>
        <w:tabs>
          <w:tab w:val="left" w:pos="1260"/>
          <w:tab w:val="left" w:pos="1620"/>
        </w:tabs>
        <w:adjustRightInd w:val="0"/>
        <w:spacing w:line="360" w:lineRule="auto"/>
        <w:jc w:val="left"/>
        <w:textAlignment w:val="baseline"/>
        <w:rPr>
          <w:rFonts w:ascii="宋体" w:hAnsi="宋体" w:cs="宋体"/>
          <w:b/>
          <w:color w:val="auto"/>
          <w:sz w:val="20"/>
          <w:szCs w:val="20"/>
        </w:rPr>
      </w:pPr>
      <w:r>
        <w:rPr>
          <w:rFonts w:hint="eastAsia" w:ascii="宋体" w:hAnsi="宋体" w:cs="宋体"/>
          <w:b/>
          <w:color w:val="auto"/>
          <w:sz w:val="20"/>
          <w:szCs w:val="20"/>
        </w:rPr>
        <w:t>（5）不同供应商的响应文件相互混装；</w:t>
      </w:r>
    </w:p>
    <w:p>
      <w:pPr>
        <w:tabs>
          <w:tab w:val="left" w:pos="1260"/>
          <w:tab w:val="left" w:pos="1620"/>
        </w:tabs>
        <w:adjustRightInd w:val="0"/>
        <w:spacing w:line="360" w:lineRule="auto"/>
        <w:jc w:val="left"/>
        <w:textAlignment w:val="baseline"/>
        <w:rPr>
          <w:rFonts w:ascii="宋体" w:hAnsi="宋体" w:cs="宋体"/>
          <w:b/>
          <w:color w:val="auto"/>
          <w:sz w:val="20"/>
          <w:szCs w:val="20"/>
        </w:rPr>
      </w:pPr>
      <w:r>
        <w:rPr>
          <w:rFonts w:hint="eastAsia" w:ascii="宋体" w:hAnsi="宋体" w:cs="宋体"/>
          <w:b/>
          <w:color w:val="auto"/>
          <w:sz w:val="20"/>
          <w:szCs w:val="20"/>
        </w:rPr>
        <w:t>（6）不同供应商的磋商保证金从同一单位或者个人的账户转出。</w:t>
      </w:r>
    </w:p>
    <w:p>
      <w:pPr>
        <w:tabs>
          <w:tab w:val="left" w:pos="1260"/>
          <w:tab w:val="left" w:pos="1620"/>
        </w:tabs>
        <w:adjustRightInd w:val="0"/>
        <w:spacing w:line="360" w:lineRule="auto"/>
        <w:jc w:val="left"/>
        <w:textAlignment w:val="baseline"/>
        <w:rPr>
          <w:rFonts w:ascii="宋体" w:hAnsi="宋体" w:cs="宋体"/>
          <w:b/>
          <w:color w:val="auto"/>
          <w:sz w:val="20"/>
          <w:szCs w:val="20"/>
        </w:rPr>
      </w:pPr>
      <w:r>
        <w:rPr>
          <w:rFonts w:hint="eastAsia" w:ascii="宋体" w:hAnsi="宋体" w:cs="宋体"/>
          <w:b/>
          <w:color w:val="auto"/>
          <w:sz w:val="20"/>
          <w:szCs w:val="20"/>
        </w:rPr>
        <w:t>3、有下列情形之一的，属于提供虚假材料谋取成交的行为：</w:t>
      </w:r>
    </w:p>
    <w:p>
      <w:pPr>
        <w:tabs>
          <w:tab w:val="left" w:pos="1260"/>
          <w:tab w:val="left" w:pos="1620"/>
        </w:tabs>
        <w:adjustRightInd w:val="0"/>
        <w:spacing w:line="360" w:lineRule="auto"/>
        <w:jc w:val="left"/>
        <w:textAlignment w:val="baseline"/>
        <w:rPr>
          <w:rFonts w:ascii="宋体" w:hAnsi="宋体" w:cs="宋体"/>
          <w:b/>
          <w:color w:val="auto"/>
          <w:sz w:val="20"/>
          <w:szCs w:val="20"/>
        </w:rPr>
      </w:pPr>
      <w:r>
        <w:rPr>
          <w:rFonts w:hint="eastAsia" w:ascii="宋体" w:hAnsi="宋体" w:cs="宋体"/>
          <w:b/>
          <w:color w:val="auto"/>
          <w:sz w:val="20"/>
          <w:szCs w:val="20"/>
        </w:rPr>
        <w:t>（1）使用伪造、变造的许可证件；</w:t>
      </w:r>
    </w:p>
    <w:p>
      <w:pPr>
        <w:tabs>
          <w:tab w:val="left" w:pos="1260"/>
          <w:tab w:val="left" w:pos="1620"/>
        </w:tabs>
        <w:adjustRightInd w:val="0"/>
        <w:spacing w:line="360" w:lineRule="auto"/>
        <w:jc w:val="left"/>
        <w:textAlignment w:val="baseline"/>
        <w:rPr>
          <w:rFonts w:ascii="宋体" w:hAnsi="宋体" w:cs="宋体"/>
          <w:b/>
          <w:color w:val="auto"/>
          <w:sz w:val="20"/>
          <w:szCs w:val="20"/>
        </w:rPr>
      </w:pPr>
      <w:r>
        <w:rPr>
          <w:rFonts w:hint="eastAsia" w:ascii="宋体" w:hAnsi="宋体" w:cs="宋体"/>
          <w:b/>
          <w:color w:val="auto"/>
          <w:sz w:val="20"/>
          <w:szCs w:val="20"/>
        </w:rPr>
        <w:t>（2）提供虚假的财务状况或者业绩；</w:t>
      </w:r>
    </w:p>
    <w:p>
      <w:pPr>
        <w:tabs>
          <w:tab w:val="left" w:pos="1260"/>
          <w:tab w:val="left" w:pos="1620"/>
        </w:tabs>
        <w:adjustRightInd w:val="0"/>
        <w:spacing w:line="360" w:lineRule="auto"/>
        <w:jc w:val="left"/>
        <w:textAlignment w:val="baseline"/>
        <w:rPr>
          <w:rFonts w:ascii="宋体" w:hAnsi="宋体" w:cs="宋体"/>
          <w:b/>
          <w:color w:val="auto"/>
          <w:sz w:val="20"/>
          <w:szCs w:val="20"/>
        </w:rPr>
      </w:pPr>
      <w:r>
        <w:rPr>
          <w:rFonts w:hint="eastAsia" w:ascii="宋体" w:hAnsi="宋体" w:cs="宋体"/>
          <w:b/>
          <w:color w:val="auto"/>
          <w:sz w:val="20"/>
          <w:szCs w:val="20"/>
        </w:rPr>
        <w:t>（3）提供虚假的项目负责人或者主要技术人员简历、劳动关系证明；</w:t>
      </w:r>
    </w:p>
    <w:p>
      <w:pPr>
        <w:tabs>
          <w:tab w:val="left" w:pos="1260"/>
          <w:tab w:val="left" w:pos="1620"/>
        </w:tabs>
        <w:adjustRightInd w:val="0"/>
        <w:spacing w:line="360" w:lineRule="auto"/>
        <w:jc w:val="left"/>
        <w:textAlignment w:val="baseline"/>
        <w:rPr>
          <w:rFonts w:ascii="宋体" w:hAnsi="宋体" w:cs="宋体"/>
          <w:b/>
          <w:color w:val="auto"/>
          <w:sz w:val="20"/>
          <w:szCs w:val="20"/>
        </w:rPr>
      </w:pPr>
      <w:r>
        <w:rPr>
          <w:rFonts w:hint="eastAsia" w:ascii="宋体" w:hAnsi="宋体" w:cs="宋体"/>
          <w:b/>
          <w:color w:val="auto"/>
          <w:sz w:val="20"/>
          <w:szCs w:val="20"/>
        </w:rPr>
        <w:t>（4）提供虚假的信用状况；</w:t>
      </w:r>
    </w:p>
    <w:p>
      <w:pPr>
        <w:tabs>
          <w:tab w:val="left" w:pos="1260"/>
          <w:tab w:val="left" w:pos="1620"/>
        </w:tabs>
        <w:adjustRightInd w:val="0"/>
        <w:spacing w:line="360" w:lineRule="auto"/>
        <w:jc w:val="left"/>
        <w:textAlignment w:val="baseline"/>
        <w:rPr>
          <w:rFonts w:ascii="宋体" w:hAnsi="宋体" w:cs="宋体"/>
          <w:b/>
          <w:color w:val="auto"/>
          <w:szCs w:val="21"/>
        </w:rPr>
      </w:pPr>
      <w:r>
        <w:rPr>
          <w:rFonts w:hint="eastAsia" w:ascii="宋体" w:hAnsi="宋体" w:cs="宋体"/>
          <w:b/>
          <w:color w:val="auto"/>
          <w:sz w:val="20"/>
          <w:szCs w:val="20"/>
        </w:rPr>
        <w:t>（5）其他弄虚作假的行为。</w:t>
      </w:r>
    </w:p>
    <w:p>
      <w:pPr>
        <w:tabs>
          <w:tab w:val="left" w:pos="1260"/>
          <w:tab w:val="left" w:pos="1620"/>
        </w:tabs>
        <w:adjustRightInd w:val="0"/>
        <w:spacing w:line="360" w:lineRule="auto"/>
        <w:jc w:val="left"/>
        <w:textAlignment w:val="baseline"/>
        <w:rPr>
          <w:rFonts w:ascii="宋体" w:hAnsi="宋体" w:cs="宋体"/>
          <w:b/>
          <w:color w:val="auto"/>
          <w:szCs w:val="21"/>
        </w:rPr>
      </w:pPr>
    </w:p>
    <w:p>
      <w:pPr>
        <w:tabs>
          <w:tab w:val="left" w:pos="1260"/>
          <w:tab w:val="left" w:pos="1620"/>
        </w:tabs>
        <w:adjustRightInd w:val="0"/>
        <w:spacing w:line="360" w:lineRule="auto"/>
        <w:jc w:val="left"/>
        <w:textAlignment w:val="baseline"/>
        <w:rPr>
          <w:rFonts w:ascii="宋体" w:hAnsi="宋体" w:cs="宋体"/>
          <w:b/>
          <w:color w:val="auto"/>
          <w:szCs w:val="21"/>
        </w:rPr>
      </w:pPr>
      <w:r>
        <w:rPr>
          <w:rFonts w:hint="eastAsia" w:ascii="宋体" w:hAnsi="宋体" w:cs="宋体"/>
          <w:b/>
          <w:color w:val="auto"/>
          <w:szCs w:val="21"/>
        </w:rPr>
        <w:br w:type="page"/>
      </w:r>
    </w:p>
    <w:p>
      <w:pPr>
        <w:pStyle w:val="5"/>
        <w:jc w:val="center"/>
        <w:rPr>
          <w:rFonts w:ascii="宋体" w:hAnsi="宋体" w:eastAsia="宋体" w:cs="宋体"/>
          <w:color w:val="auto"/>
          <w:sz w:val="28"/>
          <w:szCs w:val="28"/>
        </w:rPr>
      </w:pPr>
      <w:bookmarkStart w:id="167" w:name="_Toc10549"/>
      <w:bookmarkStart w:id="168" w:name="_Toc410631198"/>
      <w:bookmarkStart w:id="169" w:name="_Toc414446034"/>
      <w:bookmarkStart w:id="170" w:name="_Toc15565"/>
      <w:r>
        <w:rPr>
          <w:rFonts w:hint="eastAsia" w:ascii="宋体" w:hAnsi="宋体" w:eastAsia="宋体" w:cs="宋体"/>
          <w:color w:val="auto"/>
          <w:sz w:val="28"/>
          <w:szCs w:val="28"/>
        </w:rPr>
        <w:t>附表三</w:t>
      </w:r>
      <w:bookmarkEnd w:id="167"/>
      <w:bookmarkEnd w:id="168"/>
      <w:bookmarkEnd w:id="169"/>
      <w:r>
        <w:rPr>
          <w:rFonts w:hint="eastAsia" w:ascii="宋体" w:hAnsi="宋体" w:eastAsia="宋体" w:cs="宋体"/>
          <w:color w:val="auto"/>
          <w:sz w:val="28"/>
          <w:szCs w:val="28"/>
        </w:rPr>
        <w:t xml:space="preserve"> 详细评分表</w:t>
      </w:r>
      <w:bookmarkEnd w:id="170"/>
    </w:p>
    <w:tbl>
      <w:tblPr>
        <w:tblStyle w:val="74"/>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110"/>
        <w:gridCol w:w="1091"/>
        <w:gridCol w:w="646"/>
        <w:gridCol w:w="6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color w:val="auto"/>
                <w:szCs w:val="21"/>
              </w:rPr>
            </w:pPr>
            <w:r>
              <w:rPr>
                <w:rFonts w:hint="eastAsia" w:ascii="宋体" w:hAnsi="宋体" w:cs="宋体"/>
                <w:color w:val="auto"/>
                <w:szCs w:val="21"/>
              </w:rPr>
              <w:t>序号</w:t>
            </w:r>
          </w:p>
        </w:tc>
        <w:tc>
          <w:tcPr>
            <w:tcW w:w="2201" w:type="dxa"/>
            <w:gridSpan w:val="2"/>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color w:val="auto"/>
                <w:szCs w:val="21"/>
              </w:rPr>
            </w:pPr>
            <w:r>
              <w:rPr>
                <w:rFonts w:hint="eastAsia" w:ascii="宋体" w:hAnsi="宋体" w:cs="宋体"/>
                <w:color w:val="auto"/>
                <w:szCs w:val="21"/>
              </w:rPr>
              <w:t>评分因素</w:t>
            </w:r>
          </w:p>
        </w:tc>
        <w:tc>
          <w:tcPr>
            <w:tcW w:w="646" w:type="dxa"/>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color w:val="auto"/>
                <w:szCs w:val="21"/>
              </w:rPr>
            </w:pPr>
            <w:r>
              <w:rPr>
                <w:rFonts w:hint="eastAsia" w:ascii="宋体" w:hAnsi="宋体" w:cs="宋体"/>
                <w:color w:val="auto"/>
                <w:szCs w:val="21"/>
              </w:rPr>
              <w:t>分值</w:t>
            </w:r>
          </w:p>
        </w:tc>
        <w:tc>
          <w:tcPr>
            <w:tcW w:w="6214" w:type="dxa"/>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color w:val="auto"/>
                <w:szCs w:val="21"/>
              </w:rPr>
            </w:pPr>
            <w:r>
              <w:rPr>
                <w:rFonts w:hint="eastAsia" w:ascii="宋体" w:hAnsi="宋体" w:cs="宋体"/>
                <w:color w:val="auto"/>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9"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color w:val="auto"/>
                <w:szCs w:val="21"/>
              </w:rPr>
            </w:pPr>
            <w:r>
              <w:rPr>
                <w:rFonts w:hint="eastAsia" w:ascii="宋体" w:hAnsi="宋体" w:cs="宋体"/>
                <w:color w:val="auto"/>
                <w:szCs w:val="21"/>
              </w:rPr>
              <w:t>1</w:t>
            </w:r>
          </w:p>
        </w:tc>
        <w:tc>
          <w:tcPr>
            <w:tcW w:w="2201" w:type="dxa"/>
            <w:gridSpan w:val="2"/>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color w:val="auto"/>
                <w:szCs w:val="21"/>
              </w:rPr>
            </w:pPr>
            <w:r>
              <w:rPr>
                <w:rFonts w:hint="eastAsia" w:ascii="宋体" w:hAnsi="宋体" w:cs="宋体"/>
                <w:color w:val="auto"/>
                <w:szCs w:val="21"/>
              </w:rPr>
              <w:t>报价部分（30分）</w:t>
            </w:r>
          </w:p>
        </w:tc>
        <w:tc>
          <w:tcPr>
            <w:tcW w:w="646"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color w:val="auto"/>
                <w:szCs w:val="21"/>
              </w:rPr>
            </w:pPr>
            <w:r>
              <w:rPr>
                <w:rFonts w:hint="eastAsia" w:ascii="宋体" w:hAnsi="宋体" w:cs="宋体"/>
                <w:color w:val="auto"/>
                <w:szCs w:val="21"/>
              </w:rPr>
              <w:t>30</w:t>
            </w:r>
          </w:p>
        </w:tc>
        <w:tc>
          <w:tcPr>
            <w:tcW w:w="6214" w:type="dxa"/>
            <w:tcBorders>
              <w:top w:val="single" w:color="auto" w:sz="4" w:space="0"/>
              <w:left w:val="single" w:color="auto" w:sz="4" w:space="0"/>
              <w:bottom w:val="single" w:color="auto" w:sz="4" w:space="0"/>
              <w:right w:val="single" w:color="auto" w:sz="4" w:space="0"/>
            </w:tcBorders>
            <w:vAlign w:val="center"/>
          </w:tcPr>
          <w:p>
            <w:pPr>
              <w:topLinePunct/>
              <w:spacing w:line="360" w:lineRule="auto"/>
              <w:rPr>
                <w:rFonts w:ascii="宋体" w:hAnsi="宋体" w:cs="宋体"/>
                <w:color w:val="auto"/>
                <w:kern w:val="0"/>
                <w:szCs w:val="21"/>
              </w:rPr>
            </w:pPr>
            <w:r>
              <w:rPr>
                <w:rFonts w:hint="eastAsia" w:ascii="宋体" w:hAnsi="宋体" w:cs="宋体"/>
                <w:color w:val="auto"/>
                <w:kern w:val="0"/>
                <w:szCs w:val="21"/>
              </w:rPr>
              <w:t>有效响应文件中按2.3.3项（1）进行调整的最后最低报价为评审基准价。</w:t>
            </w:r>
          </w:p>
          <w:p>
            <w:pPr>
              <w:topLinePunct/>
              <w:spacing w:line="360" w:lineRule="auto"/>
              <w:rPr>
                <w:rFonts w:ascii="宋体" w:hAnsi="宋体" w:cs="宋体"/>
                <w:color w:val="auto"/>
                <w:szCs w:val="21"/>
              </w:rPr>
            </w:pPr>
            <w:r>
              <w:rPr>
                <w:rFonts w:hint="eastAsia" w:ascii="宋体" w:hAnsi="宋体" w:cs="宋体"/>
                <w:color w:val="auto"/>
                <w:kern w:val="0"/>
                <w:szCs w:val="21"/>
              </w:rPr>
              <w:t>符合要求的供应商最后报价（按2.3.3项（1）进行调整后价格）得分：报价得分=(评审基准价/最后报价)×30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jc w:val="center"/>
        </w:trPr>
        <w:tc>
          <w:tcPr>
            <w:tcW w:w="564" w:type="dxa"/>
            <w:vMerge w:val="restart"/>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jc w:val="center"/>
              <w:rPr>
                <w:rFonts w:ascii="宋体" w:hAnsi="宋体" w:cs="宋体"/>
                <w:color w:val="auto"/>
                <w:szCs w:val="21"/>
              </w:rPr>
            </w:pPr>
            <w:r>
              <w:rPr>
                <w:rFonts w:hint="eastAsia" w:ascii="宋体" w:hAnsi="宋体" w:cs="宋体"/>
                <w:color w:val="auto"/>
                <w:szCs w:val="21"/>
              </w:rPr>
              <w:t>2</w:t>
            </w:r>
          </w:p>
        </w:tc>
        <w:tc>
          <w:tcPr>
            <w:tcW w:w="11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Cs w:val="21"/>
              </w:rPr>
            </w:pPr>
            <w:r>
              <w:rPr>
                <w:rFonts w:hint="eastAsia" w:ascii="宋体" w:hAnsi="宋体" w:cs="宋体"/>
                <w:color w:val="auto"/>
                <w:szCs w:val="21"/>
              </w:rPr>
              <w:t>商务部分</w:t>
            </w:r>
          </w:p>
          <w:p>
            <w:pPr>
              <w:widowControl/>
              <w:spacing w:line="360" w:lineRule="auto"/>
              <w:jc w:val="center"/>
              <w:rPr>
                <w:rFonts w:ascii="宋体" w:hAnsi="宋体" w:cs="宋体"/>
                <w:color w:val="auto"/>
              </w:rPr>
            </w:pPr>
            <w:r>
              <w:rPr>
                <w:rFonts w:hint="eastAsia" w:ascii="宋体" w:hAnsi="宋体" w:cs="宋体"/>
                <w:color w:val="auto"/>
                <w:szCs w:val="21"/>
              </w:rPr>
              <w:t>（26分）</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cs="宋体"/>
                <w:color w:val="auto"/>
                <w:kern w:val="0"/>
                <w:szCs w:val="21"/>
                <w:lang w:bidi="ar"/>
              </w:rPr>
            </w:pPr>
            <w:r>
              <w:rPr>
                <w:rFonts w:hint="eastAsia" w:ascii="宋体" w:hAnsi="宋体" w:cs="宋体"/>
                <w:color w:val="auto"/>
                <w:kern w:val="0"/>
                <w:szCs w:val="21"/>
                <w:lang w:bidi="ar"/>
              </w:rPr>
              <w:t>信息化管理能力</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宋体" w:hAnsi="宋体"/>
                <w:color w:val="auto"/>
                <w:szCs w:val="21"/>
              </w:rPr>
            </w:pPr>
            <w:r>
              <w:rPr>
                <w:rFonts w:hint="eastAsia" w:ascii="宋体" w:hAnsi="宋体"/>
                <w:color w:val="auto"/>
                <w:szCs w:val="21"/>
              </w:rPr>
              <w:t>3</w:t>
            </w:r>
          </w:p>
        </w:tc>
        <w:tc>
          <w:tcPr>
            <w:tcW w:w="6214" w:type="dxa"/>
            <w:tcBorders>
              <w:top w:val="single" w:color="auto" w:sz="4" w:space="0"/>
              <w:left w:val="single" w:color="auto" w:sz="4" w:space="0"/>
              <w:bottom w:val="single" w:color="auto" w:sz="4" w:space="0"/>
              <w:right w:val="single" w:color="auto" w:sz="4" w:space="0"/>
            </w:tcBorders>
            <w:vAlign w:val="center"/>
          </w:tcPr>
          <w:p>
            <w:pPr>
              <w:spacing w:line="276" w:lineRule="auto"/>
              <w:rPr>
                <w:color w:val="auto"/>
              </w:rPr>
            </w:pPr>
            <w:r>
              <w:rPr>
                <w:rFonts w:hint="eastAsia"/>
                <w:bCs/>
                <w:color w:val="auto"/>
              </w:rPr>
              <w:t>供应商具备有效期内的质量管理体系认证证书、信息安全管理体系认证证书、信息技术服务管理体系认证证书，每项</w:t>
            </w:r>
            <w:r>
              <w:rPr>
                <w:bCs/>
                <w:color w:val="auto"/>
              </w:rPr>
              <w:t>1</w:t>
            </w:r>
            <w:r>
              <w:rPr>
                <w:rFonts w:hint="eastAsia"/>
                <w:bCs/>
                <w:color w:val="auto"/>
              </w:rPr>
              <w:t>分，最高得</w:t>
            </w:r>
            <w:r>
              <w:rPr>
                <w:bCs/>
                <w:color w:val="auto"/>
              </w:rPr>
              <w:t>3</w:t>
            </w:r>
            <w:r>
              <w:rPr>
                <w:rFonts w:hint="eastAsia"/>
                <w:bCs/>
                <w:color w:val="auto"/>
              </w:rPr>
              <w:t>分，没有不得分。（提供证书复印件及查询链接截图并加盖供应商公章，否则不得分）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9" w:hRule="atLeast"/>
          <w:jc w:val="center"/>
        </w:trPr>
        <w:tc>
          <w:tcPr>
            <w:tcW w:w="564" w:type="dxa"/>
            <w:vMerge w:val="continue"/>
            <w:tcBorders>
              <w:left w:val="single" w:color="auto" w:sz="4" w:space="0"/>
              <w:right w:val="single" w:color="auto" w:sz="4" w:space="0"/>
            </w:tcBorders>
            <w:vAlign w:val="center"/>
          </w:tcPr>
          <w:p>
            <w:pPr>
              <w:topLinePunct/>
              <w:snapToGrid w:val="0"/>
              <w:spacing w:line="360" w:lineRule="auto"/>
              <w:jc w:val="center"/>
              <w:rPr>
                <w:rFonts w:ascii="宋体" w:hAnsi="宋体" w:cs="宋体"/>
                <w:color w:val="auto"/>
                <w:szCs w:val="21"/>
              </w:rPr>
            </w:pPr>
          </w:p>
        </w:tc>
        <w:tc>
          <w:tcPr>
            <w:tcW w:w="1110"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szCs w:val="21"/>
              </w:rPr>
            </w:pPr>
          </w:p>
        </w:tc>
        <w:tc>
          <w:tcPr>
            <w:tcW w:w="1091" w:type="dxa"/>
            <w:vMerge w:val="restart"/>
            <w:tcBorders>
              <w:top w:val="single" w:color="auto" w:sz="4" w:space="0"/>
              <w:left w:val="single" w:color="auto" w:sz="4" w:space="0"/>
              <w:right w:val="single" w:color="auto" w:sz="4" w:space="0"/>
            </w:tcBorders>
            <w:vAlign w:val="center"/>
          </w:tcPr>
          <w:p>
            <w:pPr>
              <w:widowControl/>
              <w:spacing w:line="276" w:lineRule="auto"/>
              <w:rPr>
                <w:rFonts w:ascii="宋体" w:hAnsi="宋体" w:cs="宋体"/>
                <w:color w:val="auto"/>
                <w:szCs w:val="21"/>
              </w:rPr>
            </w:pPr>
            <w:r>
              <w:rPr>
                <w:rFonts w:hint="eastAsia" w:ascii="宋体" w:hAnsi="宋体" w:cs="宋体"/>
                <w:color w:val="auto"/>
                <w:szCs w:val="21"/>
              </w:rPr>
              <w:t>售后服务及能力</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宋体" w:hAnsi="宋体"/>
                <w:color w:val="auto"/>
                <w:szCs w:val="21"/>
              </w:rPr>
            </w:pPr>
            <w:r>
              <w:rPr>
                <w:rFonts w:hint="eastAsia" w:ascii="宋体" w:hAnsi="宋体"/>
                <w:color w:val="auto"/>
                <w:szCs w:val="21"/>
              </w:rPr>
              <w:t>1</w:t>
            </w:r>
          </w:p>
        </w:tc>
        <w:tc>
          <w:tcPr>
            <w:tcW w:w="621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auto"/>
                <w:kern w:val="0"/>
              </w:rPr>
            </w:pPr>
            <w:r>
              <w:rPr>
                <w:rFonts w:hint="eastAsia"/>
                <w:bCs/>
                <w:color w:val="auto"/>
              </w:rPr>
              <w:t>供应商</w:t>
            </w:r>
            <w:r>
              <w:rPr>
                <w:rFonts w:hint="eastAsia" w:ascii="宋体" w:hAnsi="宋体" w:cs="宋体"/>
                <w:color w:val="auto"/>
                <w:kern w:val="0"/>
              </w:rPr>
              <w:t>具备《商品售后服务认证GBT27922-2011》认证证书，四星级及以上的得1分，三星级的得0.5分。</w:t>
            </w:r>
            <w:r>
              <w:rPr>
                <w:rFonts w:hint="eastAsia"/>
                <w:bCs/>
                <w:color w:val="auto"/>
              </w:rPr>
              <w:t>其它不得分。（提供证书复印件及查询链接截图并加盖供应商公章，否则不得分）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9" w:hRule="atLeast"/>
          <w:jc w:val="center"/>
        </w:trPr>
        <w:tc>
          <w:tcPr>
            <w:tcW w:w="564" w:type="dxa"/>
            <w:vMerge w:val="continue"/>
            <w:tcBorders>
              <w:left w:val="single" w:color="auto" w:sz="4" w:space="0"/>
              <w:right w:val="single" w:color="auto" w:sz="4" w:space="0"/>
            </w:tcBorders>
            <w:vAlign w:val="center"/>
          </w:tcPr>
          <w:p>
            <w:pPr>
              <w:topLinePunct/>
              <w:snapToGrid w:val="0"/>
              <w:spacing w:line="360" w:lineRule="auto"/>
              <w:jc w:val="center"/>
              <w:rPr>
                <w:rFonts w:ascii="宋体" w:hAnsi="宋体" w:cs="宋体"/>
                <w:color w:val="auto"/>
                <w:szCs w:val="21"/>
              </w:rPr>
            </w:pPr>
          </w:p>
        </w:tc>
        <w:tc>
          <w:tcPr>
            <w:tcW w:w="1110"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szCs w:val="21"/>
              </w:rPr>
            </w:pPr>
          </w:p>
        </w:tc>
        <w:tc>
          <w:tcPr>
            <w:tcW w:w="1091" w:type="dxa"/>
            <w:vMerge w:val="continue"/>
            <w:tcBorders>
              <w:left w:val="single" w:color="auto" w:sz="4" w:space="0"/>
              <w:bottom w:val="single" w:color="auto" w:sz="4" w:space="0"/>
              <w:right w:val="single" w:color="auto" w:sz="4" w:space="0"/>
            </w:tcBorders>
            <w:vAlign w:val="center"/>
          </w:tcPr>
          <w:p>
            <w:pPr>
              <w:widowControl/>
              <w:spacing w:line="276" w:lineRule="auto"/>
              <w:rPr>
                <w:rFonts w:ascii="宋体" w:hAnsi="宋体" w:cs="宋体"/>
                <w:color w:val="auto"/>
                <w:szCs w:val="21"/>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宋体" w:hAnsi="宋体"/>
                <w:color w:val="auto"/>
                <w:szCs w:val="21"/>
              </w:rPr>
            </w:pPr>
            <w:r>
              <w:rPr>
                <w:rFonts w:hint="eastAsia" w:ascii="宋体" w:hAnsi="宋体"/>
                <w:color w:val="auto"/>
                <w:szCs w:val="21"/>
              </w:rPr>
              <w:t>4</w:t>
            </w:r>
          </w:p>
        </w:tc>
        <w:tc>
          <w:tcPr>
            <w:tcW w:w="6214" w:type="dxa"/>
            <w:tcBorders>
              <w:top w:val="single" w:color="auto" w:sz="4" w:space="0"/>
              <w:left w:val="single" w:color="auto" w:sz="4" w:space="0"/>
              <w:bottom w:val="single" w:color="auto" w:sz="4" w:space="0"/>
              <w:right w:val="single" w:color="auto" w:sz="4" w:space="0"/>
            </w:tcBorders>
            <w:vAlign w:val="center"/>
          </w:tcPr>
          <w:p>
            <w:pPr>
              <w:spacing w:line="276" w:lineRule="auto"/>
              <w:rPr>
                <w:bCs/>
                <w:color w:val="auto"/>
              </w:rPr>
            </w:pPr>
            <w:r>
              <w:rPr>
                <w:rFonts w:hint="eastAsia" w:hAnsi="宋体"/>
                <w:color w:val="auto"/>
                <w:szCs w:val="21"/>
              </w:rPr>
              <w:t>供应商在满足所投交换机设备提供</w:t>
            </w:r>
            <w:r>
              <w:rPr>
                <w:rFonts w:hAnsi="宋体"/>
                <w:color w:val="auto"/>
                <w:szCs w:val="21"/>
              </w:rPr>
              <w:t>5年原厂</w:t>
            </w:r>
            <w:r>
              <w:rPr>
                <w:rFonts w:hint="eastAsia" w:hAnsi="宋体"/>
                <w:color w:val="auto"/>
                <w:szCs w:val="21"/>
              </w:rPr>
              <w:t>免费</w:t>
            </w:r>
            <w:r>
              <w:rPr>
                <w:rFonts w:hAnsi="宋体"/>
                <w:color w:val="auto"/>
                <w:szCs w:val="21"/>
              </w:rPr>
              <w:t>质保的同时，</w:t>
            </w:r>
            <w:r>
              <w:rPr>
                <w:rFonts w:hint="eastAsia" w:hAnsi="宋体"/>
                <w:color w:val="auto"/>
                <w:szCs w:val="21"/>
              </w:rPr>
              <w:t>承诺延长免费质保1年得2分，延长免费质保2年及以上得4分，不延长不得分。(提供承诺函，函中须承诺签订合同时须提供“原厂售后服务承诺函”)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564" w:type="dxa"/>
            <w:vMerge w:val="continue"/>
            <w:tcBorders>
              <w:left w:val="single" w:color="auto" w:sz="4" w:space="0"/>
              <w:right w:val="single" w:color="auto" w:sz="4" w:space="0"/>
            </w:tcBorders>
            <w:vAlign w:val="center"/>
          </w:tcPr>
          <w:p>
            <w:pPr>
              <w:topLinePunct/>
              <w:snapToGrid w:val="0"/>
              <w:spacing w:line="360" w:lineRule="auto"/>
              <w:jc w:val="center"/>
              <w:rPr>
                <w:rFonts w:ascii="宋体" w:hAnsi="宋体" w:cs="宋体"/>
                <w:color w:val="auto"/>
                <w:szCs w:val="21"/>
              </w:rPr>
            </w:pPr>
          </w:p>
        </w:tc>
        <w:tc>
          <w:tcPr>
            <w:tcW w:w="1110"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szCs w:val="21"/>
              </w:rPr>
            </w:pPr>
          </w:p>
        </w:tc>
        <w:tc>
          <w:tcPr>
            <w:tcW w:w="1091" w:type="dxa"/>
            <w:tcBorders>
              <w:top w:val="single" w:color="auto" w:sz="4" w:space="0"/>
              <w:left w:val="single" w:color="auto" w:sz="4" w:space="0"/>
              <w:right w:val="single" w:color="auto" w:sz="4" w:space="0"/>
            </w:tcBorders>
            <w:vAlign w:val="center"/>
          </w:tcPr>
          <w:p>
            <w:pPr>
              <w:widowControl/>
              <w:spacing w:line="276" w:lineRule="auto"/>
              <w:rPr>
                <w:rFonts w:ascii="宋体" w:hAnsi="宋体" w:cs="宋体"/>
                <w:color w:val="auto"/>
                <w:kern w:val="0"/>
                <w:szCs w:val="21"/>
                <w:lang w:bidi="ar"/>
              </w:rPr>
            </w:pPr>
            <w:r>
              <w:rPr>
                <w:rFonts w:hint="eastAsia" w:ascii="宋体" w:hAnsi="宋体" w:cs="宋体"/>
                <w:color w:val="auto"/>
                <w:szCs w:val="21"/>
              </w:rPr>
              <w:t>系统交付能力</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宋体" w:hAnsi="宋体"/>
                <w:color w:val="auto"/>
                <w:szCs w:val="21"/>
              </w:rPr>
            </w:pPr>
            <w:r>
              <w:rPr>
                <w:rFonts w:hint="eastAsia" w:ascii="宋体" w:hAnsi="宋体"/>
                <w:color w:val="auto"/>
                <w:szCs w:val="21"/>
              </w:rPr>
              <w:t>3</w:t>
            </w:r>
          </w:p>
        </w:tc>
        <w:tc>
          <w:tcPr>
            <w:tcW w:w="6214" w:type="dxa"/>
            <w:tcBorders>
              <w:top w:val="single" w:color="auto" w:sz="4" w:space="0"/>
              <w:left w:val="single" w:color="auto" w:sz="4" w:space="0"/>
              <w:bottom w:val="single" w:color="auto" w:sz="4" w:space="0"/>
              <w:right w:val="single" w:color="auto" w:sz="4" w:space="0"/>
            </w:tcBorders>
            <w:vAlign w:val="center"/>
          </w:tcPr>
          <w:p>
            <w:pPr>
              <w:spacing w:line="276" w:lineRule="auto"/>
              <w:rPr>
                <w:color w:val="auto"/>
              </w:rPr>
            </w:pPr>
            <w:r>
              <w:rPr>
                <w:rFonts w:hint="eastAsia"/>
                <w:bCs/>
                <w:color w:val="auto"/>
              </w:rPr>
              <w:t>供应商</w:t>
            </w:r>
            <w:r>
              <w:rPr>
                <w:rFonts w:hint="eastAsia" w:ascii="宋体" w:hAnsi="宋体" w:cs="宋体"/>
                <w:color w:val="auto"/>
                <w:kern w:val="0"/>
              </w:rPr>
              <w:t>具有软件能力成熟度五级（CMMI5）认证得3分，四级（CMMI4）认证得2分，三级（CMMI3）认证得1分，</w:t>
            </w:r>
            <w:r>
              <w:rPr>
                <w:rFonts w:hint="eastAsia"/>
                <w:bCs/>
                <w:color w:val="auto"/>
              </w:rPr>
              <w:t>其它不得分。（提供证书复印件及查询链接截图并加盖供应商公章，否则不得分）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64" w:type="dxa"/>
            <w:vMerge w:val="continue"/>
            <w:tcBorders>
              <w:left w:val="single" w:color="auto" w:sz="4" w:space="0"/>
              <w:right w:val="single" w:color="auto" w:sz="4" w:space="0"/>
            </w:tcBorders>
            <w:vAlign w:val="center"/>
          </w:tcPr>
          <w:p>
            <w:pPr>
              <w:topLinePunct/>
              <w:snapToGrid w:val="0"/>
              <w:spacing w:line="360" w:lineRule="auto"/>
              <w:jc w:val="center"/>
              <w:rPr>
                <w:rFonts w:ascii="宋体" w:hAnsi="宋体" w:cs="宋体"/>
                <w:color w:val="auto"/>
                <w:szCs w:val="21"/>
              </w:rPr>
            </w:pPr>
          </w:p>
        </w:tc>
        <w:tc>
          <w:tcPr>
            <w:tcW w:w="1110"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szCs w:val="21"/>
              </w:rPr>
            </w:pPr>
          </w:p>
        </w:tc>
        <w:tc>
          <w:tcPr>
            <w:tcW w:w="1091" w:type="dxa"/>
            <w:tcBorders>
              <w:left w:val="single" w:color="auto" w:sz="4" w:space="0"/>
              <w:right w:val="single" w:color="auto" w:sz="4" w:space="0"/>
            </w:tcBorders>
            <w:vAlign w:val="center"/>
          </w:tcPr>
          <w:p>
            <w:pPr>
              <w:widowControl/>
              <w:spacing w:line="276" w:lineRule="auto"/>
              <w:rPr>
                <w:rFonts w:ascii="宋体" w:hAnsi="宋体" w:cs="宋体"/>
                <w:color w:val="auto"/>
                <w:kern w:val="0"/>
                <w:szCs w:val="21"/>
                <w:lang w:bidi="ar"/>
              </w:rPr>
            </w:pPr>
            <w:r>
              <w:rPr>
                <w:rFonts w:hint="eastAsia" w:ascii="宋体" w:hAnsi="宋体" w:cs="宋体"/>
                <w:color w:val="auto"/>
                <w:szCs w:val="21"/>
              </w:rPr>
              <w:t>企业人员</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宋体" w:hAnsi="宋体"/>
                <w:color w:val="auto"/>
                <w:szCs w:val="21"/>
              </w:rPr>
            </w:pPr>
            <w:r>
              <w:rPr>
                <w:rFonts w:hint="eastAsia" w:ascii="宋体" w:hAnsi="宋体"/>
                <w:color w:val="auto"/>
                <w:szCs w:val="21"/>
              </w:rPr>
              <w:t>5</w:t>
            </w:r>
          </w:p>
        </w:tc>
        <w:tc>
          <w:tcPr>
            <w:tcW w:w="6214" w:type="dxa"/>
            <w:tcBorders>
              <w:top w:val="single" w:color="auto" w:sz="4" w:space="0"/>
              <w:left w:val="single" w:color="auto" w:sz="4" w:space="0"/>
              <w:bottom w:val="single" w:color="auto" w:sz="4" w:space="0"/>
              <w:right w:val="single" w:color="auto" w:sz="4" w:space="0"/>
            </w:tcBorders>
            <w:vAlign w:val="center"/>
          </w:tcPr>
          <w:p>
            <w:pPr>
              <w:spacing w:line="276" w:lineRule="auto"/>
              <w:rPr>
                <w:color w:val="auto"/>
              </w:rPr>
            </w:pPr>
            <w:r>
              <w:rPr>
                <w:rFonts w:hint="eastAsia"/>
                <w:color w:val="auto"/>
              </w:rPr>
              <w:t>1、供应商人员具有网络工程师证书的得2分。</w:t>
            </w:r>
          </w:p>
          <w:p>
            <w:pPr>
              <w:spacing w:line="276" w:lineRule="auto"/>
              <w:rPr>
                <w:color w:val="auto"/>
              </w:rPr>
            </w:pPr>
            <w:r>
              <w:rPr>
                <w:rFonts w:hint="eastAsia"/>
                <w:color w:val="auto"/>
              </w:rPr>
              <w:t>2、供应商人员具有ITSS 应用经理、ITSS-IT服务工程师、注册信息安全专业人员(CISP)证书的，每有一项得1分，本项最高得3分。</w:t>
            </w:r>
          </w:p>
          <w:p>
            <w:pPr>
              <w:spacing w:line="276" w:lineRule="auto"/>
              <w:rPr>
                <w:color w:val="auto"/>
              </w:rPr>
            </w:pPr>
            <w:r>
              <w:rPr>
                <w:rFonts w:hint="eastAsia"/>
                <w:color w:val="auto"/>
              </w:rPr>
              <w:t>以上需提供证书彩色扫描件及供应商为持证人员交纳近3个月社保证明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564" w:type="dxa"/>
            <w:vMerge w:val="continue"/>
            <w:tcBorders>
              <w:left w:val="single" w:color="auto" w:sz="4" w:space="0"/>
              <w:right w:val="single" w:color="auto" w:sz="4" w:space="0"/>
            </w:tcBorders>
            <w:vAlign w:val="center"/>
          </w:tcPr>
          <w:p>
            <w:pPr>
              <w:topLinePunct/>
              <w:snapToGrid w:val="0"/>
              <w:spacing w:line="360" w:lineRule="auto"/>
              <w:jc w:val="center"/>
              <w:rPr>
                <w:rFonts w:ascii="宋体" w:hAnsi="宋体" w:cs="宋体"/>
                <w:color w:val="auto"/>
                <w:szCs w:val="21"/>
              </w:rPr>
            </w:pPr>
          </w:p>
        </w:tc>
        <w:tc>
          <w:tcPr>
            <w:tcW w:w="1110"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szCs w:val="21"/>
              </w:rPr>
            </w:pPr>
          </w:p>
        </w:tc>
        <w:tc>
          <w:tcPr>
            <w:tcW w:w="1091" w:type="dxa"/>
            <w:tcBorders>
              <w:top w:val="single" w:color="auto" w:sz="4" w:space="0"/>
              <w:left w:val="single" w:color="auto" w:sz="4" w:space="0"/>
              <w:right w:val="single" w:color="auto" w:sz="4" w:space="0"/>
            </w:tcBorders>
            <w:vAlign w:val="center"/>
          </w:tcPr>
          <w:p>
            <w:pPr>
              <w:widowControl/>
              <w:spacing w:line="276" w:lineRule="auto"/>
              <w:rPr>
                <w:rFonts w:ascii="宋体" w:hAnsi="宋体" w:cs="宋体"/>
                <w:color w:val="auto"/>
                <w:szCs w:val="21"/>
              </w:rPr>
            </w:pPr>
            <w:r>
              <w:rPr>
                <w:rFonts w:hint="eastAsia" w:ascii="宋体" w:hAnsi="宋体" w:cs="宋体"/>
                <w:color w:val="auto"/>
                <w:szCs w:val="21"/>
              </w:rPr>
              <w:t>类似业绩</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宋体" w:hAnsi="宋体"/>
                <w:color w:val="auto"/>
                <w:szCs w:val="21"/>
              </w:rPr>
            </w:pPr>
            <w:r>
              <w:rPr>
                <w:rFonts w:hint="eastAsia" w:ascii="宋体" w:hAnsi="宋体"/>
                <w:color w:val="auto"/>
                <w:szCs w:val="21"/>
              </w:rPr>
              <w:t>8</w:t>
            </w:r>
          </w:p>
        </w:tc>
        <w:tc>
          <w:tcPr>
            <w:tcW w:w="621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color w:val="auto"/>
                <w:kern w:val="0"/>
              </w:rPr>
            </w:pPr>
            <w:r>
              <w:rPr>
                <w:rFonts w:hint="eastAsia" w:ascii="宋体" w:hAnsi="宋体" w:cs="宋体"/>
                <w:bCs/>
                <w:color w:val="auto"/>
                <w:kern w:val="0"/>
              </w:rPr>
              <w:t>供应商近三年（2019年1月1号至今）具有类似交换机供货安装业绩，每个得2分，最高得8分，</w:t>
            </w:r>
            <w:r>
              <w:rPr>
                <w:rFonts w:hint="eastAsia" w:ascii="宋体" w:hAnsi="宋体" w:cs="宋体"/>
                <w:color w:val="auto"/>
                <w:kern w:val="0"/>
              </w:rPr>
              <w:t>没有不得分。</w:t>
            </w:r>
            <w:r>
              <w:rPr>
                <w:rFonts w:hint="eastAsia" w:ascii="宋体" w:hAnsi="宋体" w:cs="宋体"/>
                <w:bCs/>
                <w:color w:val="auto"/>
                <w:kern w:val="0"/>
              </w:rPr>
              <w:t>（提供合同或中标通知书）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564" w:type="dxa"/>
            <w:vMerge w:val="continue"/>
            <w:tcBorders>
              <w:left w:val="single" w:color="auto" w:sz="4" w:space="0"/>
              <w:right w:val="single" w:color="auto" w:sz="4" w:space="0"/>
            </w:tcBorders>
            <w:vAlign w:val="center"/>
          </w:tcPr>
          <w:p>
            <w:pPr>
              <w:topLinePunct/>
              <w:snapToGrid w:val="0"/>
              <w:spacing w:line="360" w:lineRule="auto"/>
              <w:jc w:val="center"/>
              <w:rPr>
                <w:rFonts w:ascii="宋体" w:hAnsi="宋体" w:cs="宋体"/>
                <w:color w:val="auto"/>
                <w:szCs w:val="21"/>
              </w:rPr>
            </w:pPr>
          </w:p>
        </w:tc>
        <w:tc>
          <w:tcPr>
            <w:tcW w:w="1110"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szCs w:val="21"/>
              </w:rPr>
            </w:pPr>
          </w:p>
        </w:tc>
        <w:tc>
          <w:tcPr>
            <w:tcW w:w="1091" w:type="dxa"/>
            <w:tcBorders>
              <w:left w:val="single" w:color="auto" w:sz="4" w:space="0"/>
              <w:bottom w:val="single" w:color="auto" w:sz="4" w:space="0"/>
              <w:right w:val="single" w:color="auto" w:sz="4" w:space="0"/>
            </w:tcBorders>
            <w:vAlign w:val="center"/>
          </w:tcPr>
          <w:p>
            <w:pPr>
              <w:widowControl/>
              <w:spacing w:line="276" w:lineRule="auto"/>
              <w:rPr>
                <w:rFonts w:ascii="宋体" w:hAnsi="宋体" w:cs="宋体"/>
                <w:color w:val="auto"/>
                <w:szCs w:val="21"/>
              </w:rPr>
            </w:pPr>
            <w:r>
              <w:rPr>
                <w:rFonts w:hint="eastAsia" w:ascii="宋体" w:hAnsi="宋体" w:cs="宋体"/>
                <w:color w:val="auto"/>
                <w:szCs w:val="21"/>
              </w:rPr>
              <w:t>制造商实力</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宋体" w:hAnsi="宋体" w:eastAsiaTheme="minorEastAsia"/>
                <w:color w:val="auto"/>
                <w:szCs w:val="21"/>
              </w:rPr>
            </w:pPr>
            <w:r>
              <w:rPr>
                <w:rFonts w:hint="eastAsia" w:ascii="宋体" w:hAnsi="宋体"/>
                <w:color w:val="auto"/>
                <w:szCs w:val="21"/>
              </w:rPr>
              <w:t>2</w:t>
            </w:r>
          </w:p>
        </w:tc>
        <w:tc>
          <w:tcPr>
            <w:tcW w:w="6214" w:type="dxa"/>
            <w:tcBorders>
              <w:top w:val="single" w:color="auto" w:sz="4" w:space="0"/>
              <w:left w:val="single" w:color="auto" w:sz="4" w:space="0"/>
              <w:bottom w:val="single" w:color="auto" w:sz="4" w:space="0"/>
              <w:right w:val="single" w:color="auto" w:sz="4" w:space="0"/>
            </w:tcBorders>
            <w:vAlign w:val="center"/>
          </w:tcPr>
          <w:p>
            <w:pPr>
              <w:spacing w:line="276" w:lineRule="auto"/>
              <w:rPr>
                <w:color w:val="auto"/>
              </w:rPr>
            </w:pPr>
            <w:r>
              <w:rPr>
                <w:rFonts w:hint="eastAsia"/>
                <w:color w:val="auto"/>
              </w:rPr>
              <w:t>制造商具备《通信网络安全服务能力评定证书》(风险评估一级)得1分，</w:t>
            </w:r>
            <w:r>
              <w:rPr>
                <w:rFonts w:hint="eastAsia"/>
                <w:bCs/>
                <w:color w:val="auto"/>
              </w:rPr>
              <w:t>没有不得分</w:t>
            </w:r>
            <w:r>
              <w:rPr>
                <w:rFonts w:hint="eastAsia"/>
                <w:color w:val="auto"/>
              </w:rPr>
              <w:t>（</w:t>
            </w:r>
            <w:r>
              <w:rPr>
                <w:rFonts w:hint="eastAsia"/>
                <w:bCs/>
                <w:color w:val="auto"/>
              </w:rPr>
              <w:t>提供证书复印件及查询链接截图并加盖供应商公章</w:t>
            </w:r>
            <w:r>
              <w:rPr>
                <w:rFonts w:hint="eastAsia"/>
                <w:color w:val="auto"/>
              </w:rPr>
              <w:t>）；</w:t>
            </w:r>
          </w:p>
          <w:p>
            <w:pPr>
              <w:spacing w:line="276" w:lineRule="auto"/>
              <w:rPr>
                <w:rFonts w:ascii="宋体" w:hAnsi="宋体" w:cs="宋体" w:eastAsiaTheme="minorEastAsia"/>
                <w:color w:val="auto"/>
                <w:kern w:val="0"/>
              </w:rPr>
            </w:pPr>
            <w:r>
              <w:rPr>
                <w:rFonts w:hint="eastAsia"/>
                <w:color w:val="auto"/>
              </w:rPr>
              <w:t>制造商具备《通信网络安全服务能力评定证书》(应急响应一级)</w:t>
            </w:r>
            <w:r>
              <w:rPr>
                <w:rFonts w:hint="eastAsia"/>
                <w:bCs/>
                <w:color w:val="auto"/>
              </w:rPr>
              <w:t>得1分，没有不得分。</w:t>
            </w:r>
            <w:r>
              <w:rPr>
                <w:rFonts w:hint="eastAsia"/>
                <w:color w:val="auto"/>
              </w:rPr>
              <w:t>（</w:t>
            </w:r>
            <w:r>
              <w:rPr>
                <w:rFonts w:hint="eastAsia"/>
                <w:bCs/>
                <w:color w:val="auto"/>
              </w:rPr>
              <w:t>提供证书复印件及查询链接截图并加盖供应商公章</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 w:hRule="atLeast"/>
          <w:jc w:val="center"/>
        </w:trPr>
        <w:tc>
          <w:tcPr>
            <w:tcW w:w="564" w:type="dxa"/>
            <w:vMerge w:val="restart"/>
            <w:tcBorders>
              <w:top w:val="single" w:color="auto" w:sz="4" w:space="0"/>
              <w:left w:val="single" w:color="auto" w:sz="4" w:space="0"/>
              <w:right w:val="single" w:color="auto" w:sz="4" w:space="0"/>
            </w:tcBorders>
            <w:vAlign w:val="center"/>
          </w:tcPr>
          <w:p>
            <w:pPr>
              <w:topLinePunct/>
              <w:snapToGrid w:val="0"/>
              <w:spacing w:line="360" w:lineRule="auto"/>
              <w:jc w:val="center"/>
              <w:rPr>
                <w:rFonts w:ascii="宋体" w:hAnsi="宋体" w:cs="宋体"/>
                <w:color w:val="auto"/>
                <w:szCs w:val="21"/>
              </w:rPr>
            </w:pPr>
            <w:r>
              <w:rPr>
                <w:rFonts w:hint="eastAsia" w:ascii="宋体" w:hAnsi="宋体" w:cs="宋体"/>
                <w:color w:val="auto"/>
                <w:szCs w:val="21"/>
              </w:rPr>
              <w:t>3</w:t>
            </w:r>
          </w:p>
        </w:tc>
        <w:tc>
          <w:tcPr>
            <w:tcW w:w="1110" w:type="dxa"/>
            <w:vMerge w:val="restart"/>
            <w:tcBorders>
              <w:top w:val="single" w:color="auto" w:sz="4" w:space="0"/>
              <w:left w:val="single" w:color="auto" w:sz="4" w:space="0"/>
              <w:right w:val="single" w:color="auto" w:sz="4" w:space="0"/>
            </w:tcBorders>
            <w:vAlign w:val="center"/>
          </w:tcPr>
          <w:p>
            <w:pPr>
              <w:spacing w:line="360" w:lineRule="auto"/>
              <w:jc w:val="left"/>
              <w:rPr>
                <w:rFonts w:ascii="宋体" w:hAnsi="宋体" w:cs="宋体"/>
                <w:color w:val="auto"/>
              </w:rPr>
            </w:pPr>
            <w:r>
              <w:rPr>
                <w:rFonts w:hint="eastAsia" w:ascii="宋体" w:hAnsi="宋体" w:cs="宋体"/>
                <w:color w:val="auto"/>
                <w:szCs w:val="21"/>
              </w:rPr>
              <w:t>技术</w:t>
            </w:r>
            <w:r>
              <w:rPr>
                <w:rFonts w:hint="eastAsia" w:ascii="宋体" w:hAnsi="宋体" w:cs="宋体"/>
                <w:color w:val="auto"/>
              </w:rPr>
              <w:t>部分</w:t>
            </w:r>
          </w:p>
          <w:p>
            <w:pPr>
              <w:spacing w:line="360" w:lineRule="auto"/>
              <w:jc w:val="left"/>
              <w:rPr>
                <w:rFonts w:ascii="宋体" w:hAnsi="宋体" w:cs="宋体"/>
                <w:color w:val="auto"/>
              </w:rPr>
            </w:pPr>
            <w:r>
              <w:rPr>
                <w:rFonts w:hint="eastAsia" w:ascii="宋体" w:hAnsi="宋体" w:cs="宋体"/>
                <w:color w:val="auto"/>
              </w:rPr>
              <w:t>（44分）</w:t>
            </w:r>
          </w:p>
        </w:tc>
        <w:tc>
          <w:tcPr>
            <w:tcW w:w="1091" w:type="dxa"/>
            <w:tcBorders>
              <w:top w:val="single" w:color="auto" w:sz="4" w:space="0"/>
              <w:left w:val="single" w:color="auto" w:sz="4" w:space="0"/>
              <w:right w:val="single" w:color="auto" w:sz="4" w:space="0"/>
            </w:tcBorders>
            <w:vAlign w:val="center"/>
          </w:tcPr>
          <w:p>
            <w:pPr>
              <w:widowControl/>
              <w:spacing w:line="276" w:lineRule="auto"/>
              <w:rPr>
                <w:rFonts w:ascii="宋体" w:hAnsi="宋体" w:cs="宋体"/>
                <w:color w:val="auto"/>
                <w:kern w:val="0"/>
                <w:szCs w:val="21"/>
                <w:lang w:bidi="ar"/>
              </w:rPr>
            </w:pPr>
            <w:r>
              <w:rPr>
                <w:rFonts w:hint="eastAsia" w:ascii="宋体" w:hAnsi="宋体" w:cs="宋体"/>
                <w:color w:val="auto"/>
                <w:kern w:val="0"/>
                <w:szCs w:val="21"/>
                <w:lang w:bidi="ar"/>
              </w:rPr>
              <w:t>技术参数</w:t>
            </w:r>
          </w:p>
        </w:tc>
        <w:tc>
          <w:tcPr>
            <w:tcW w:w="646" w:type="dxa"/>
            <w:tcBorders>
              <w:top w:val="single" w:color="auto" w:sz="4" w:space="0"/>
              <w:left w:val="single" w:color="auto" w:sz="4" w:space="0"/>
              <w:right w:val="single" w:color="auto" w:sz="4" w:space="0"/>
            </w:tcBorders>
            <w:vAlign w:val="center"/>
          </w:tcPr>
          <w:p>
            <w:pPr>
              <w:widowControl/>
              <w:spacing w:line="276" w:lineRule="auto"/>
              <w:jc w:val="center"/>
              <w:textAlignment w:val="center"/>
              <w:rPr>
                <w:rFonts w:ascii="宋体" w:hAnsi="宋体"/>
                <w:color w:val="auto"/>
                <w:szCs w:val="21"/>
              </w:rPr>
            </w:pPr>
            <w:r>
              <w:rPr>
                <w:rFonts w:hint="eastAsia" w:ascii="宋体" w:hAnsi="宋体"/>
                <w:color w:val="auto"/>
                <w:szCs w:val="21"/>
              </w:rPr>
              <w:t>36</w:t>
            </w:r>
          </w:p>
        </w:tc>
        <w:tc>
          <w:tcPr>
            <w:tcW w:w="6214" w:type="dxa"/>
            <w:tcBorders>
              <w:top w:val="single" w:color="auto" w:sz="4" w:space="0"/>
              <w:left w:val="single" w:color="auto" w:sz="4" w:space="0"/>
              <w:bottom w:val="single" w:color="auto" w:sz="4" w:space="0"/>
              <w:right w:val="single" w:color="auto" w:sz="4" w:space="0"/>
            </w:tcBorders>
            <w:vAlign w:val="center"/>
          </w:tcPr>
          <w:p>
            <w:pPr>
              <w:spacing w:line="276" w:lineRule="auto"/>
              <w:rPr>
                <w:color w:val="auto"/>
              </w:rPr>
            </w:pPr>
            <w:r>
              <w:rPr>
                <w:rFonts w:hint="eastAsia" w:ascii="宋体" w:hAnsi="宋体" w:cs="宋体"/>
                <w:color w:val="auto"/>
                <w:kern w:val="0"/>
                <w:szCs w:val="21"/>
                <w:lang w:bidi="ar"/>
              </w:rPr>
              <w:t>供应商所投产品的技术指标全部满足磋商文件</w:t>
            </w:r>
            <w:r>
              <w:rPr>
                <w:rFonts w:hint="eastAsia" w:ascii="宋体" w:hAnsi="宋体" w:cs="宋体"/>
                <w:color w:val="auto"/>
                <w:kern w:val="0"/>
                <w:szCs w:val="21"/>
              </w:rPr>
              <w:t>“第五章 采购项目需求及技术要求”中“三、技术要求”</w:t>
            </w:r>
            <w:r>
              <w:rPr>
                <w:rFonts w:hint="eastAsia" w:ascii="宋体" w:hAnsi="宋体" w:cs="宋体"/>
                <w:color w:val="auto"/>
                <w:kern w:val="0"/>
                <w:szCs w:val="21"/>
                <w:lang w:bidi="ar"/>
              </w:rPr>
              <w:t>的</w:t>
            </w:r>
            <w:r>
              <w:rPr>
                <w:rFonts w:hint="eastAsia" w:ascii="宋体" w:hAnsi="宋体" w:cs="宋体"/>
                <w:color w:val="auto"/>
                <w:szCs w:val="21"/>
              </w:rPr>
              <w:t>得</w:t>
            </w:r>
            <w:r>
              <w:rPr>
                <w:rFonts w:hint="eastAsia"/>
                <w:color w:val="auto"/>
              </w:rPr>
              <w:t>36分</w:t>
            </w:r>
          </w:p>
          <w:p>
            <w:pPr>
              <w:spacing w:line="276" w:lineRule="auto"/>
              <w:rPr>
                <w:rFonts w:ascii="宋体" w:hAnsi="宋体" w:cs="宋体"/>
                <w:color w:val="auto"/>
                <w:szCs w:val="21"/>
              </w:rPr>
            </w:pPr>
            <w:r>
              <w:rPr>
                <w:rFonts w:hint="eastAsia" w:ascii="宋体" w:hAnsi="宋体" w:cs="宋体"/>
                <w:color w:val="auto"/>
                <w:szCs w:val="21"/>
              </w:rPr>
              <w:t>重要参数（带“</w:t>
            </w:r>
            <w:r>
              <w:rPr>
                <w:rFonts w:hint="eastAsia"/>
                <w:color w:val="auto"/>
              </w:rPr>
              <w:t>★</w:t>
            </w:r>
            <w:r>
              <w:rPr>
                <w:rFonts w:hint="eastAsia" w:ascii="宋体" w:hAnsi="宋体" w:cs="宋体"/>
                <w:color w:val="auto"/>
                <w:szCs w:val="21"/>
              </w:rPr>
              <w:t>”技术参数）共5项，每有一项重要参数负偏离扣3分，重要参数负偏离≥5项，此项得0分；其余11项一般技术参数为一般参数，每有一项一般参数负偏离扣1.9分，一般参数负偏离≥5项，此项得0分。本项最低分为0分。</w:t>
            </w:r>
          </w:p>
          <w:p>
            <w:pPr>
              <w:spacing w:line="276" w:lineRule="auto"/>
              <w:rPr>
                <w:color w:val="auto"/>
              </w:rPr>
            </w:pPr>
            <w:r>
              <w:rPr>
                <w:rFonts w:hint="eastAsia" w:ascii="宋体" w:hAnsi="宋体" w:cs="宋体"/>
                <w:color w:val="auto"/>
                <w:szCs w:val="21"/>
              </w:rPr>
              <w:t>注：以供应商出具的技术说明书或产品彩页、产品标准、使用说明书、有资质的第三方出具的检验报告或证明等技术指标和参数证明或支持文件为准。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564" w:type="dxa"/>
            <w:vMerge w:val="continue"/>
            <w:tcBorders>
              <w:left w:val="single" w:color="auto" w:sz="4" w:space="0"/>
              <w:right w:val="single" w:color="auto" w:sz="4" w:space="0"/>
            </w:tcBorders>
            <w:vAlign w:val="center"/>
          </w:tcPr>
          <w:p>
            <w:pPr>
              <w:topLinePunct/>
              <w:snapToGrid w:val="0"/>
              <w:spacing w:line="360" w:lineRule="auto"/>
              <w:jc w:val="center"/>
              <w:rPr>
                <w:rFonts w:ascii="宋体" w:hAnsi="宋体" w:cs="宋体"/>
                <w:color w:val="auto"/>
                <w:szCs w:val="21"/>
              </w:rPr>
            </w:pPr>
          </w:p>
        </w:tc>
        <w:tc>
          <w:tcPr>
            <w:tcW w:w="1110" w:type="dxa"/>
            <w:vMerge w:val="continue"/>
            <w:tcBorders>
              <w:left w:val="single" w:color="auto" w:sz="4" w:space="0"/>
              <w:right w:val="single" w:color="auto" w:sz="4" w:space="0"/>
            </w:tcBorders>
            <w:vAlign w:val="center"/>
          </w:tcPr>
          <w:p>
            <w:pPr>
              <w:spacing w:line="360" w:lineRule="auto"/>
              <w:jc w:val="left"/>
              <w:rPr>
                <w:rFonts w:ascii="宋体" w:hAnsi="宋体" w:cs="宋体"/>
                <w:color w:val="auto"/>
              </w:rPr>
            </w:pPr>
          </w:p>
        </w:tc>
        <w:tc>
          <w:tcPr>
            <w:tcW w:w="1091"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cs="宋体"/>
                <w:color w:val="auto"/>
                <w:kern w:val="0"/>
                <w:szCs w:val="21"/>
                <w:lang w:bidi="ar"/>
              </w:rPr>
            </w:pPr>
            <w:r>
              <w:rPr>
                <w:rFonts w:hint="eastAsia" w:ascii="宋体" w:hAnsi="宋体" w:cs="宋体"/>
                <w:color w:val="auto"/>
                <w:kern w:val="0"/>
                <w:szCs w:val="21"/>
                <w:lang w:bidi="ar"/>
              </w:rPr>
              <w:t>统一管理</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宋体" w:hAnsi="宋体" w:eastAsiaTheme="minorEastAsia"/>
                <w:color w:val="auto"/>
                <w:szCs w:val="21"/>
              </w:rPr>
            </w:pPr>
            <w:r>
              <w:rPr>
                <w:rFonts w:hint="eastAsia" w:ascii="宋体" w:hAnsi="宋体"/>
                <w:color w:val="auto"/>
                <w:szCs w:val="21"/>
              </w:rPr>
              <w:t>2</w:t>
            </w:r>
          </w:p>
        </w:tc>
        <w:tc>
          <w:tcPr>
            <w:tcW w:w="6214" w:type="dxa"/>
            <w:tcBorders>
              <w:top w:val="single" w:color="auto" w:sz="4" w:space="0"/>
              <w:left w:val="single" w:color="auto" w:sz="4" w:space="0"/>
              <w:bottom w:val="single" w:color="auto" w:sz="4" w:space="0"/>
              <w:right w:val="single" w:color="auto" w:sz="4" w:space="0"/>
            </w:tcBorders>
            <w:vAlign w:val="center"/>
          </w:tcPr>
          <w:p>
            <w:pPr>
              <w:spacing w:line="276" w:lineRule="auto"/>
              <w:rPr>
                <w:color w:val="auto"/>
              </w:rPr>
            </w:pPr>
            <w:r>
              <w:rPr>
                <w:color w:val="auto"/>
              </w:rPr>
              <w:t>支持主机和业务模块统一IP管理和统一的配置界面</w:t>
            </w:r>
            <w:r>
              <w:rPr>
                <w:rFonts w:hint="eastAsia"/>
                <w:color w:val="auto"/>
              </w:rPr>
              <w:t>，得2分；</w:t>
            </w:r>
          </w:p>
          <w:p>
            <w:pPr>
              <w:spacing w:line="276" w:lineRule="auto"/>
              <w:rPr>
                <w:color w:val="auto"/>
              </w:rPr>
            </w:pPr>
            <w:r>
              <w:rPr>
                <w:rFonts w:hint="eastAsia"/>
                <w:color w:val="auto"/>
              </w:rPr>
              <w:t>（</w:t>
            </w:r>
            <w:r>
              <w:rPr>
                <w:color w:val="auto"/>
              </w:rPr>
              <w:t>提供第三方测试报告</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564" w:type="dxa"/>
            <w:vMerge w:val="continue"/>
            <w:tcBorders>
              <w:left w:val="single" w:color="auto" w:sz="4" w:space="0"/>
              <w:right w:val="single" w:color="auto" w:sz="4" w:space="0"/>
            </w:tcBorders>
            <w:vAlign w:val="center"/>
          </w:tcPr>
          <w:p>
            <w:pPr>
              <w:topLinePunct/>
              <w:snapToGrid w:val="0"/>
              <w:spacing w:line="360" w:lineRule="auto"/>
              <w:jc w:val="center"/>
              <w:rPr>
                <w:rFonts w:ascii="宋体" w:hAnsi="宋体" w:cs="宋体"/>
                <w:color w:val="auto"/>
                <w:szCs w:val="21"/>
              </w:rPr>
            </w:pPr>
          </w:p>
        </w:tc>
        <w:tc>
          <w:tcPr>
            <w:tcW w:w="1110" w:type="dxa"/>
            <w:vMerge w:val="continue"/>
            <w:tcBorders>
              <w:left w:val="single" w:color="auto" w:sz="4" w:space="0"/>
              <w:right w:val="single" w:color="auto" w:sz="4" w:space="0"/>
            </w:tcBorders>
            <w:vAlign w:val="center"/>
          </w:tcPr>
          <w:p>
            <w:pPr>
              <w:spacing w:line="360" w:lineRule="auto"/>
              <w:jc w:val="left"/>
              <w:rPr>
                <w:rFonts w:ascii="宋体" w:hAnsi="宋体" w:cs="宋体"/>
                <w:color w:val="auto"/>
              </w:rPr>
            </w:pPr>
          </w:p>
        </w:tc>
        <w:tc>
          <w:tcPr>
            <w:tcW w:w="1091" w:type="dxa"/>
            <w:tcBorders>
              <w:top w:val="single" w:color="auto" w:sz="4" w:space="0"/>
              <w:left w:val="single" w:color="auto" w:sz="4" w:space="0"/>
              <w:right w:val="single" w:color="auto" w:sz="4" w:space="0"/>
            </w:tcBorders>
            <w:vAlign w:val="center"/>
          </w:tcPr>
          <w:p>
            <w:pPr>
              <w:widowControl/>
              <w:spacing w:line="276" w:lineRule="auto"/>
              <w:rPr>
                <w:rFonts w:ascii="宋体" w:hAnsi="宋体" w:cs="宋体" w:eastAsiaTheme="minorEastAsia"/>
                <w:color w:val="auto"/>
                <w:kern w:val="0"/>
                <w:szCs w:val="21"/>
                <w:lang w:bidi="ar"/>
              </w:rPr>
            </w:pPr>
            <w:r>
              <w:rPr>
                <w:rFonts w:hint="eastAsia" w:ascii="宋体" w:hAnsi="宋体" w:cs="宋体"/>
                <w:color w:val="auto"/>
                <w:kern w:val="0"/>
                <w:szCs w:val="21"/>
                <w:lang w:bidi="ar"/>
              </w:rPr>
              <w:t>兼容性及平滑过渡</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宋体" w:hAnsi="宋体"/>
                <w:color w:val="auto"/>
                <w:szCs w:val="21"/>
              </w:rPr>
            </w:pPr>
            <w:r>
              <w:rPr>
                <w:rFonts w:hint="eastAsia" w:ascii="宋体" w:hAnsi="宋体"/>
                <w:color w:val="auto"/>
                <w:szCs w:val="21"/>
              </w:rPr>
              <w:t>3</w:t>
            </w:r>
          </w:p>
        </w:tc>
        <w:tc>
          <w:tcPr>
            <w:tcW w:w="6214" w:type="dxa"/>
            <w:tcBorders>
              <w:top w:val="single" w:color="auto" w:sz="4" w:space="0"/>
              <w:left w:val="single" w:color="auto" w:sz="4" w:space="0"/>
              <w:bottom w:val="single" w:color="auto" w:sz="4" w:space="0"/>
              <w:right w:val="single" w:color="auto" w:sz="4" w:space="0"/>
            </w:tcBorders>
            <w:vAlign w:val="center"/>
          </w:tcPr>
          <w:p>
            <w:pPr>
              <w:spacing w:line="276" w:lineRule="auto"/>
              <w:rPr>
                <w:color w:val="auto"/>
                <w:spacing w:val="-6"/>
              </w:rPr>
            </w:pPr>
            <w:r>
              <w:rPr>
                <w:rFonts w:hint="eastAsia" w:ascii="宋体" w:hAnsi="宋体" w:cs="宋体"/>
                <w:color w:val="auto"/>
                <w:kern w:val="0"/>
                <w:szCs w:val="21"/>
                <w:lang w:bidi="ar"/>
              </w:rPr>
              <w:t>本次采购的核心交换机支持与现网校园卡核心交换机实现设备的平滑替换</w:t>
            </w:r>
            <w:r>
              <w:rPr>
                <w:rFonts w:hint="eastAsia"/>
                <w:color w:val="auto"/>
                <w:spacing w:val="-6"/>
              </w:rPr>
              <w:t>，供应商提供平滑替换方案及承诺函。（须承诺因对接开发、部署等工作产生的费用由供应商自行承担）</w:t>
            </w:r>
          </w:p>
          <w:p>
            <w:pPr>
              <w:spacing w:line="276" w:lineRule="auto"/>
              <w:rPr>
                <w:color w:val="auto"/>
              </w:rPr>
            </w:pPr>
            <w:r>
              <w:rPr>
                <w:color w:val="auto"/>
              </w:rPr>
              <w:t>1.</w:t>
            </w:r>
            <w:r>
              <w:rPr>
                <w:rFonts w:hint="eastAsia"/>
                <w:color w:val="auto"/>
              </w:rPr>
              <w:t>平滑过渡</w:t>
            </w:r>
            <w:r>
              <w:rPr>
                <w:color w:val="auto"/>
              </w:rPr>
              <w:t>方案</w:t>
            </w:r>
            <w:r>
              <w:rPr>
                <w:rFonts w:hint="eastAsia"/>
                <w:color w:val="auto"/>
              </w:rPr>
              <w:t>及承诺</w:t>
            </w:r>
            <w:r>
              <w:rPr>
                <w:color w:val="auto"/>
              </w:rPr>
              <w:t>针对性强、科学可行、安全性高、合理性强得</w:t>
            </w:r>
            <w:r>
              <w:rPr>
                <w:rFonts w:hint="eastAsia"/>
                <w:color w:val="auto"/>
              </w:rPr>
              <w:t>3</w:t>
            </w:r>
            <w:r>
              <w:rPr>
                <w:color w:val="auto"/>
              </w:rPr>
              <w:t>分；</w:t>
            </w:r>
          </w:p>
          <w:p>
            <w:pPr>
              <w:spacing w:line="276" w:lineRule="auto"/>
              <w:rPr>
                <w:color w:val="auto"/>
              </w:rPr>
            </w:pPr>
            <w:r>
              <w:rPr>
                <w:color w:val="auto"/>
              </w:rPr>
              <w:t>2.</w:t>
            </w:r>
            <w:r>
              <w:rPr>
                <w:rFonts w:hint="eastAsia"/>
                <w:color w:val="auto"/>
              </w:rPr>
              <w:t>平滑过渡</w:t>
            </w:r>
            <w:r>
              <w:rPr>
                <w:color w:val="auto"/>
              </w:rPr>
              <w:t>方案</w:t>
            </w:r>
            <w:r>
              <w:rPr>
                <w:rFonts w:hint="eastAsia"/>
                <w:color w:val="auto"/>
              </w:rPr>
              <w:t>及承诺有一定的针对性及可行性、具备一定的安全性及合理性得2</w:t>
            </w:r>
            <w:r>
              <w:rPr>
                <w:color w:val="auto"/>
              </w:rPr>
              <w:t>分；</w:t>
            </w:r>
          </w:p>
          <w:p>
            <w:pPr>
              <w:spacing w:line="276" w:lineRule="auto"/>
              <w:rPr>
                <w:color w:val="auto"/>
              </w:rPr>
            </w:pPr>
            <w:r>
              <w:rPr>
                <w:color w:val="auto"/>
              </w:rPr>
              <w:t>3.</w:t>
            </w:r>
            <w:r>
              <w:rPr>
                <w:rFonts w:hint="eastAsia"/>
                <w:color w:val="auto"/>
              </w:rPr>
              <w:t>平滑过渡</w:t>
            </w:r>
            <w:r>
              <w:rPr>
                <w:color w:val="auto"/>
              </w:rPr>
              <w:t>方案</w:t>
            </w:r>
            <w:r>
              <w:rPr>
                <w:rFonts w:hint="eastAsia"/>
                <w:color w:val="auto"/>
              </w:rPr>
              <w:t>及承诺针对性及可行性一般、缺乏安全性及合理性得</w:t>
            </w:r>
            <w:r>
              <w:rPr>
                <w:color w:val="auto"/>
              </w:rPr>
              <w:t>1分；</w:t>
            </w:r>
          </w:p>
          <w:p>
            <w:pPr>
              <w:spacing w:line="276" w:lineRule="auto"/>
              <w:rPr>
                <w:rFonts w:ascii="宋体" w:hAnsi="宋体" w:cs="宋体"/>
                <w:color w:val="auto"/>
                <w:kern w:val="0"/>
                <w:szCs w:val="21"/>
                <w:lang w:bidi="ar"/>
              </w:rPr>
            </w:pPr>
            <w:r>
              <w:rPr>
                <w:rFonts w:hint="eastAsia"/>
                <w:color w:val="auto"/>
              </w:rPr>
              <w:t>未提供承诺函不得分。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6" w:hRule="atLeast"/>
          <w:jc w:val="center"/>
        </w:trPr>
        <w:tc>
          <w:tcPr>
            <w:tcW w:w="564" w:type="dxa"/>
            <w:vMerge w:val="continue"/>
            <w:tcBorders>
              <w:left w:val="single" w:color="auto" w:sz="4" w:space="0"/>
              <w:right w:val="single" w:color="auto" w:sz="4" w:space="0"/>
            </w:tcBorders>
            <w:vAlign w:val="center"/>
          </w:tcPr>
          <w:p>
            <w:pPr>
              <w:topLinePunct/>
              <w:snapToGrid w:val="0"/>
              <w:spacing w:line="360" w:lineRule="auto"/>
              <w:jc w:val="center"/>
              <w:rPr>
                <w:rFonts w:ascii="宋体" w:hAnsi="宋体" w:cs="宋体"/>
                <w:color w:val="auto"/>
                <w:szCs w:val="21"/>
              </w:rPr>
            </w:pPr>
          </w:p>
        </w:tc>
        <w:tc>
          <w:tcPr>
            <w:tcW w:w="1110" w:type="dxa"/>
            <w:vMerge w:val="continue"/>
            <w:tcBorders>
              <w:left w:val="single" w:color="auto" w:sz="4" w:space="0"/>
              <w:right w:val="single" w:color="auto" w:sz="4" w:space="0"/>
            </w:tcBorders>
            <w:vAlign w:val="center"/>
          </w:tcPr>
          <w:p>
            <w:pPr>
              <w:spacing w:line="360" w:lineRule="auto"/>
              <w:jc w:val="left"/>
              <w:rPr>
                <w:rFonts w:ascii="宋体" w:hAnsi="宋体" w:cs="宋体"/>
                <w:color w:val="auto"/>
              </w:rPr>
            </w:pPr>
          </w:p>
        </w:tc>
        <w:tc>
          <w:tcPr>
            <w:tcW w:w="1091" w:type="dxa"/>
            <w:tcBorders>
              <w:left w:val="single" w:color="auto" w:sz="4" w:space="0"/>
              <w:right w:val="single" w:color="auto" w:sz="4" w:space="0"/>
            </w:tcBorders>
            <w:vAlign w:val="center"/>
          </w:tcPr>
          <w:p>
            <w:pPr>
              <w:widowControl/>
              <w:spacing w:line="276" w:lineRule="auto"/>
              <w:rPr>
                <w:rFonts w:ascii="宋体" w:hAnsi="宋体" w:cs="宋体"/>
                <w:color w:val="auto"/>
                <w:kern w:val="0"/>
                <w:szCs w:val="21"/>
                <w:lang w:bidi="ar"/>
              </w:rPr>
            </w:pPr>
            <w:r>
              <w:rPr>
                <w:rFonts w:hint="eastAsia" w:ascii="宋体" w:hAnsi="宋体" w:cs="宋体"/>
                <w:color w:val="auto"/>
                <w:kern w:val="0"/>
                <w:szCs w:val="21"/>
                <w:lang w:bidi="ar"/>
              </w:rPr>
              <w:t>设计及实施方案</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宋体" w:hAnsi="宋体"/>
                <w:color w:val="auto"/>
                <w:szCs w:val="21"/>
              </w:rPr>
            </w:pPr>
            <w:r>
              <w:rPr>
                <w:rFonts w:hint="eastAsia" w:ascii="宋体" w:hAnsi="宋体"/>
                <w:color w:val="auto"/>
                <w:szCs w:val="21"/>
              </w:rPr>
              <w:t>3</w:t>
            </w:r>
          </w:p>
        </w:tc>
        <w:tc>
          <w:tcPr>
            <w:tcW w:w="6214" w:type="dxa"/>
            <w:tcBorders>
              <w:top w:val="single" w:color="auto" w:sz="4" w:space="0"/>
              <w:left w:val="single" w:color="auto" w:sz="4" w:space="0"/>
              <w:bottom w:val="single" w:color="auto" w:sz="4" w:space="0"/>
              <w:right w:val="single" w:color="auto" w:sz="4" w:space="0"/>
            </w:tcBorders>
            <w:vAlign w:val="center"/>
          </w:tcPr>
          <w:p>
            <w:pPr>
              <w:spacing w:line="276" w:lineRule="auto"/>
              <w:rPr>
                <w:color w:val="auto"/>
              </w:rPr>
            </w:pPr>
            <w:r>
              <w:rPr>
                <w:rFonts w:hint="eastAsia"/>
                <w:color w:val="auto"/>
              </w:rPr>
              <w:t>根据供应商投标文件中结合校园卡专网的实际需求，提供相应的设计方案、实施方案、割接方案等进行评审。</w:t>
            </w:r>
          </w:p>
          <w:p>
            <w:pPr>
              <w:spacing w:line="276" w:lineRule="auto"/>
              <w:rPr>
                <w:color w:val="auto"/>
              </w:rPr>
            </w:pPr>
            <w:r>
              <w:rPr>
                <w:color w:val="auto"/>
              </w:rPr>
              <w:t>1.</w:t>
            </w:r>
            <w:r>
              <w:rPr>
                <w:rFonts w:hint="eastAsia"/>
                <w:color w:val="auto"/>
              </w:rPr>
              <w:t>对部署网络环境了解透彻、</w:t>
            </w:r>
            <w:r>
              <w:rPr>
                <w:color w:val="auto"/>
              </w:rPr>
              <w:t>提供准确合理的实施方案拓扑图，</w:t>
            </w:r>
            <w:r>
              <w:rPr>
                <w:rFonts w:hint="eastAsia"/>
                <w:color w:val="auto"/>
              </w:rPr>
              <w:t>并且，</w:t>
            </w:r>
            <w:r>
              <w:rPr>
                <w:color w:val="auto"/>
              </w:rPr>
              <w:t>总体</w:t>
            </w:r>
            <w:r>
              <w:rPr>
                <w:rFonts w:hint="eastAsia"/>
                <w:color w:val="auto"/>
              </w:rPr>
              <w:t>设计及</w:t>
            </w:r>
            <w:r>
              <w:rPr>
                <w:color w:val="auto"/>
              </w:rPr>
              <w:t>实施方案针对性强、科学可行、安全性高、合理性强得</w:t>
            </w:r>
            <w:r>
              <w:rPr>
                <w:rFonts w:hint="eastAsia"/>
                <w:color w:val="auto"/>
              </w:rPr>
              <w:t>3</w:t>
            </w:r>
            <w:r>
              <w:rPr>
                <w:color w:val="auto"/>
              </w:rPr>
              <w:t>分；</w:t>
            </w:r>
          </w:p>
          <w:p>
            <w:pPr>
              <w:spacing w:line="276" w:lineRule="auto"/>
              <w:rPr>
                <w:color w:val="auto"/>
              </w:rPr>
            </w:pPr>
            <w:r>
              <w:rPr>
                <w:rFonts w:hint="eastAsia"/>
                <w:color w:val="auto"/>
              </w:rPr>
              <w:t>2</w:t>
            </w:r>
            <w:r>
              <w:rPr>
                <w:color w:val="auto"/>
              </w:rPr>
              <w:t>.</w:t>
            </w:r>
            <w:r>
              <w:rPr>
                <w:rFonts w:hint="eastAsia"/>
                <w:color w:val="auto"/>
              </w:rPr>
              <w:t>总体设计及实施方案有一定的针对性及可行性、具备一定的安全性及合理性得2</w:t>
            </w:r>
            <w:r>
              <w:rPr>
                <w:color w:val="auto"/>
              </w:rPr>
              <w:t>分；</w:t>
            </w:r>
          </w:p>
          <w:p>
            <w:pPr>
              <w:spacing w:line="276" w:lineRule="auto"/>
              <w:rPr>
                <w:color w:val="auto"/>
              </w:rPr>
            </w:pPr>
            <w:r>
              <w:rPr>
                <w:rFonts w:hint="eastAsia"/>
                <w:color w:val="auto"/>
              </w:rPr>
              <w:t>3</w:t>
            </w:r>
            <w:r>
              <w:rPr>
                <w:color w:val="auto"/>
              </w:rPr>
              <w:t>.</w:t>
            </w:r>
            <w:r>
              <w:rPr>
                <w:rFonts w:hint="eastAsia"/>
                <w:color w:val="auto"/>
              </w:rPr>
              <w:t>总体设计及实施方案针对性及可行性一般、缺乏安全性及合理性得</w:t>
            </w:r>
            <w:r>
              <w:rPr>
                <w:color w:val="auto"/>
              </w:rPr>
              <w:t>1分；</w:t>
            </w:r>
          </w:p>
          <w:p>
            <w:pPr>
              <w:spacing w:line="276" w:lineRule="auto"/>
              <w:rPr>
                <w:color w:val="auto"/>
              </w:rPr>
            </w:pPr>
            <w:r>
              <w:rPr>
                <w:rFonts w:hint="eastAsia"/>
                <w:color w:val="auto"/>
              </w:rPr>
              <w:t>未提供方案不得分。</w:t>
            </w:r>
          </w:p>
        </w:tc>
      </w:tr>
    </w:tbl>
    <w:p>
      <w:pPr>
        <w:rPr>
          <w:rFonts w:ascii="宋体" w:hAnsi="宋体" w:cs="宋体"/>
          <w:color w:val="auto"/>
          <w:sz w:val="32"/>
          <w:szCs w:val="32"/>
        </w:rPr>
      </w:pPr>
      <w:bookmarkStart w:id="171" w:name="_Toc11468"/>
      <w:bookmarkStart w:id="172" w:name="_Toc491075858"/>
      <w:bookmarkStart w:id="173" w:name="_Toc16276"/>
      <w:bookmarkStart w:id="174" w:name="_Toc8254"/>
      <w:r>
        <w:rPr>
          <w:rFonts w:hint="eastAsia" w:ascii="宋体" w:hAnsi="宋体" w:cs="宋体"/>
          <w:color w:val="auto"/>
          <w:sz w:val="32"/>
          <w:szCs w:val="32"/>
        </w:rPr>
        <w:br w:type="page"/>
      </w:r>
    </w:p>
    <w:p>
      <w:pPr>
        <w:tabs>
          <w:tab w:val="left" w:pos="-94"/>
          <w:tab w:val="left" w:pos="428"/>
        </w:tabs>
        <w:adjustRightInd w:val="0"/>
        <w:spacing w:line="360" w:lineRule="auto"/>
        <w:ind w:left="23" w:leftChars="11"/>
        <w:jc w:val="center"/>
        <w:textAlignment w:val="baseline"/>
        <w:outlineLvl w:val="0"/>
        <w:rPr>
          <w:rFonts w:ascii="宋体" w:hAnsi="宋体" w:cs="宋体"/>
          <w:color w:val="auto"/>
          <w:sz w:val="32"/>
          <w:szCs w:val="32"/>
        </w:rPr>
      </w:pPr>
      <w:r>
        <w:rPr>
          <w:rFonts w:hint="eastAsia" w:ascii="宋体" w:hAnsi="宋体" w:cs="宋体"/>
          <w:color w:val="auto"/>
          <w:sz w:val="32"/>
          <w:szCs w:val="32"/>
        </w:rPr>
        <w:t>第四章  合同条款及格式</w:t>
      </w:r>
      <w:bookmarkEnd w:id="171"/>
      <w:bookmarkEnd w:id="172"/>
      <w:bookmarkEnd w:id="173"/>
    </w:p>
    <w:p>
      <w:pPr>
        <w:autoSpaceDE w:val="0"/>
        <w:autoSpaceDN w:val="0"/>
        <w:adjustRightInd w:val="0"/>
        <w:snapToGrid w:val="0"/>
        <w:spacing w:line="440" w:lineRule="atLeast"/>
        <w:jc w:val="center"/>
        <w:rPr>
          <w:rFonts w:ascii="Calibri" w:hAnsi="Calibri" w:eastAsia="黑体"/>
          <w:b/>
          <w:color w:val="auto"/>
          <w:spacing w:val="8"/>
          <w:kern w:val="0"/>
          <w:sz w:val="32"/>
          <w:szCs w:val="32"/>
        </w:rPr>
      </w:pPr>
    </w:p>
    <w:p>
      <w:pPr>
        <w:autoSpaceDE w:val="0"/>
        <w:autoSpaceDN w:val="0"/>
        <w:adjustRightInd w:val="0"/>
        <w:snapToGrid w:val="0"/>
        <w:spacing w:line="440" w:lineRule="atLeast"/>
        <w:jc w:val="center"/>
        <w:outlineLvl w:val="1"/>
        <w:rPr>
          <w:rFonts w:ascii="Calibri" w:hAnsi="Calibri" w:eastAsia="黑体"/>
          <w:b/>
          <w:color w:val="auto"/>
          <w:spacing w:val="8"/>
          <w:kern w:val="0"/>
          <w:sz w:val="32"/>
          <w:szCs w:val="32"/>
        </w:rPr>
      </w:pPr>
      <w:r>
        <w:rPr>
          <w:rFonts w:hint="eastAsia" w:ascii="Calibri" w:hAnsi="Calibri" w:eastAsia="黑体"/>
          <w:b/>
          <w:color w:val="auto"/>
          <w:spacing w:val="8"/>
          <w:kern w:val="0"/>
          <w:sz w:val="32"/>
          <w:szCs w:val="32"/>
        </w:rPr>
        <w:t>汉口银行与华中农业大学</w:t>
      </w:r>
    </w:p>
    <w:p>
      <w:pPr>
        <w:autoSpaceDE w:val="0"/>
        <w:autoSpaceDN w:val="0"/>
        <w:adjustRightInd w:val="0"/>
        <w:snapToGrid w:val="0"/>
        <w:spacing w:line="440" w:lineRule="atLeast"/>
        <w:jc w:val="center"/>
        <w:outlineLvl w:val="1"/>
        <w:rPr>
          <w:rFonts w:ascii="黑体" w:hAnsi="宋体" w:eastAsia="黑体"/>
          <w:b/>
          <w:color w:val="auto"/>
          <w:spacing w:val="8"/>
          <w:kern w:val="0"/>
          <w:sz w:val="32"/>
          <w:szCs w:val="32"/>
        </w:rPr>
      </w:pPr>
      <w:r>
        <w:rPr>
          <w:rFonts w:hint="eastAsia" w:ascii="Calibri" w:hAnsi="Calibri" w:eastAsia="黑体"/>
          <w:b/>
          <w:color w:val="auto"/>
          <w:spacing w:val="8"/>
          <w:kern w:val="0"/>
          <w:sz w:val="32"/>
          <w:szCs w:val="32"/>
        </w:rPr>
        <w:t>银校合作</w:t>
      </w:r>
      <w:r>
        <w:rPr>
          <w:rFonts w:hint="eastAsia" w:ascii="黑体" w:hAnsi="宋体" w:eastAsia="黑体"/>
          <w:b/>
          <w:color w:val="auto"/>
          <w:spacing w:val="8"/>
          <w:kern w:val="0"/>
          <w:sz w:val="32"/>
          <w:szCs w:val="32"/>
        </w:rPr>
        <w:t>项目采购合同</w:t>
      </w:r>
    </w:p>
    <w:p>
      <w:pPr>
        <w:autoSpaceDE w:val="0"/>
        <w:autoSpaceDN w:val="0"/>
        <w:adjustRightInd w:val="0"/>
        <w:snapToGrid w:val="0"/>
        <w:spacing w:line="360" w:lineRule="auto"/>
        <w:rPr>
          <w:rFonts w:ascii="宋体" w:hAnsi="宋体"/>
          <w:color w:val="auto"/>
          <w:spacing w:val="8"/>
          <w:kern w:val="0"/>
          <w:szCs w:val="21"/>
        </w:rPr>
      </w:pPr>
    </w:p>
    <w:p>
      <w:pPr>
        <w:autoSpaceDE w:val="0"/>
        <w:autoSpaceDN w:val="0"/>
        <w:adjustRightInd w:val="0"/>
        <w:snapToGrid w:val="0"/>
        <w:spacing w:line="360" w:lineRule="auto"/>
        <w:rPr>
          <w:rStyle w:val="156"/>
          <w:rFonts w:ascii="宋体" w:hAnsi="宋体" w:cs="Tahoma"/>
          <w:color w:val="auto"/>
          <w:sz w:val="24"/>
        </w:rPr>
      </w:pPr>
      <w:r>
        <w:rPr>
          <w:rFonts w:hint="eastAsia" w:ascii="宋体" w:hAnsi="宋体"/>
          <w:color w:val="auto"/>
          <w:spacing w:val="8"/>
          <w:kern w:val="0"/>
          <w:sz w:val="24"/>
        </w:rPr>
        <w:t>合同编号：***</w:t>
      </w:r>
    </w:p>
    <w:p>
      <w:pPr>
        <w:tabs>
          <w:tab w:val="left" w:pos="588"/>
        </w:tabs>
        <w:spacing w:line="360" w:lineRule="auto"/>
        <w:rPr>
          <w:rFonts w:ascii="宋体" w:hAnsi="宋体"/>
          <w:bCs/>
          <w:color w:val="auto"/>
          <w:spacing w:val="8"/>
          <w:kern w:val="0"/>
          <w:sz w:val="24"/>
        </w:rPr>
      </w:pPr>
      <w:r>
        <w:rPr>
          <w:rFonts w:hint="eastAsia" w:ascii="宋体" w:hAnsi="宋体"/>
          <w:color w:val="auto"/>
          <w:spacing w:val="8"/>
          <w:kern w:val="0"/>
          <w:sz w:val="24"/>
        </w:rPr>
        <w:t>甲    方：华中农业大学</w:t>
      </w:r>
    </w:p>
    <w:p>
      <w:pPr>
        <w:autoSpaceDE w:val="0"/>
        <w:autoSpaceDN w:val="0"/>
        <w:adjustRightInd w:val="0"/>
        <w:snapToGrid w:val="0"/>
        <w:spacing w:line="360" w:lineRule="auto"/>
        <w:rPr>
          <w:rFonts w:ascii="宋体" w:hAnsi="宋体"/>
          <w:bCs/>
          <w:color w:val="auto"/>
          <w:spacing w:val="8"/>
          <w:kern w:val="0"/>
          <w:sz w:val="24"/>
        </w:rPr>
      </w:pPr>
      <w:r>
        <w:rPr>
          <w:rFonts w:ascii="宋体" w:hAnsi="宋体"/>
          <w:bCs/>
          <w:color w:val="auto"/>
          <w:spacing w:val="8"/>
          <w:kern w:val="0"/>
          <w:sz w:val="24"/>
        </w:rPr>
        <w:t>地    址：湖北省武汉市洪山区狮子山街</w:t>
      </w:r>
      <w:r>
        <w:rPr>
          <w:rFonts w:hint="eastAsia" w:ascii="宋体" w:hAnsi="宋体"/>
          <w:bCs/>
          <w:color w:val="auto"/>
          <w:spacing w:val="8"/>
          <w:kern w:val="0"/>
          <w:sz w:val="24"/>
        </w:rPr>
        <w:t>1号</w:t>
      </w:r>
    </w:p>
    <w:p>
      <w:pPr>
        <w:autoSpaceDE w:val="0"/>
        <w:autoSpaceDN w:val="0"/>
        <w:adjustRightInd w:val="0"/>
        <w:snapToGrid w:val="0"/>
        <w:spacing w:line="360" w:lineRule="auto"/>
        <w:rPr>
          <w:rFonts w:ascii="宋体" w:hAnsi="宋体"/>
          <w:bCs/>
          <w:color w:val="auto"/>
          <w:spacing w:val="8"/>
          <w:kern w:val="0"/>
          <w:sz w:val="24"/>
        </w:rPr>
      </w:pPr>
      <w:r>
        <w:rPr>
          <w:rFonts w:ascii="宋体" w:hAnsi="宋体"/>
          <w:bCs/>
          <w:color w:val="auto"/>
          <w:spacing w:val="8"/>
          <w:kern w:val="0"/>
          <w:sz w:val="24"/>
        </w:rPr>
        <w:t>电    话：</w:t>
      </w:r>
      <w:r>
        <w:rPr>
          <w:rFonts w:hint="eastAsia" w:ascii="宋体" w:hAnsi="宋体"/>
          <w:bCs/>
          <w:color w:val="auto"/>
          <w:spacing w:val="8"/>
          <w:kern w:val="0"/>
          <w:sz w:val="24"/>
        </w:rPr>
        <w:t>027-8728***</w:t>
      </w:r>
    </w:p>
    <w:p>
      <w:pPr>
        <w:autoSpaceDE w:val="0"/>
        <w:autoSpaceDN w:val="0"/>
        <w:adjustRightInd w:val="0"/>
        <w:snapToGrid w:val="0"/>
        <w:spacing w:line="360" w:lineRule="auto"/>
        <w:rPr>
          <w:rFonts w:ascii="宋体" w:hAnsi="宋体"/>
          <w:bCs/>
          <w:color w:val="auto"/>
          <w:spacing w:val="8"/>
          <w:kern w:val="0"/>
          <w:sz w:val="24"/>
        </w:rPr>
      </w:pPr>
    </w:p>
    <w:p>
      <w:pPr>
        <w:tabs>
          <w:tab w:val="left" w:pos="588"/>
        </w:tabs>
        <w:spacing w:line="360" w:lineRule="auto"/>
        <w:rPr>
          <w:rFonts w:ascii="宋体" w:hAnsi="宋体"/>
          <w:bCs/>
          <w:color w:val="auto"/>
          <w:spacing w:val="8"/>
          <w:kern w:val="0"/>
          <w:sz w:val="24"/>
        </w:rPr>
      </w:pPr>
      <w:r>
        <w:rPr>
          <w:rFonts w:hint="eastAsia" w:ascii="宋体" w:hAnsi="宋体"/>
          <w:bCs/>
          <w:color w:val="auto"/>
          <w:spacing w:val="8"/>
          <w:kern w:val="0"/>
          <w:sz w:val="24"/>
        </w:rPr>
        <w:t>乙    方： 汉口银行股份有限公司洪山支行</w:t>
      </w:r>
    </w:p>
    <w:p>
      <w:pPr>
        <w:autoSpaceDE w:val="0"/>
        <w:autoSpaceDN w:val="0"/>
        <w:adjustRightInd w:val="0"/>
        <w:snapToGrid w:val="0"/>
        <w:spacing w:line="360" w:lineRule="auto"/>
        <w:rPr>
          <w:rFonts w:ascii="宋体" w:hAnsi="宋体"/>
          <w:bCs/>
          <w:color w:val="auto"/>
          <w:spacing w:val="8"/>
          <w:kern w:val="0"/>
          <w:sz w:val="24"/>
        </w:rPr>
      </w:pPr>
      <w:r>
        <w:rPr>
          <w:rFonts w:ascii="宋体" w:hAnsi="宋体"/>
          <w:bCs/>
          <w:color w:val="auto"/>
          <w:spacing w:val="8"/>
          <w:kern w:val="0"/>
          <w:sz w:val="24"/>
        </w:rPr>
        <w:t>地    址：</w:t>
      </w:r>
      <w:r>
        <w:rPr>
          <w:rFonts w:hint="eastAsia" w:ascii="宋体" w:hAnsi="宋体"/>
          <w:bCs/>
          <w:color w:val="auto"/>
          <w:spacing w:val="8"/>
          <w:kern w:val="0"/>
          <w:sz w:val="24"/>
        </w:rPr>
        <w:t xml:space="preserve"> 湖北省武汉市洪山区</w:t>
      </w:r>
      <w:r>
        <w:rPr>
          <w:rFonts w:ascii="宋体" w:hAnsi="宋体" w:cs="宋体"/>
          <w:color w:val="auto"/>
          <w:sz w:val="24"/>
        </w:rPr>
        <w:t>珞喻路95号</w:t>
      </w:r>
    </w:p>
    <w:p>
      <w:pPr>
        <w:autoSpaceDE w:val="0"/>
        <w:autoSpaceDN w:val="0"/>
        <w:adjustRightInd w:val="0"/>
        <w:snapToGrid w:val="0"/>
        <w:spacing w:line="360" w:lineRule="auto"/>
        <w:rPr>
          <w:rFonts w:ascii="宋体" w:hAnsi="宋体"/>
          <w:bCs/>
          <w:color w:val="auto"/>
          <w:spacing w:val="8"/>
          <w:kern w:val="0"/>
          <w:sz w:val="24"/>
        </w:rPr>
      </w:pPr>
      <w:r>
        <w:rPr>
          <w:rFonts w:ascii="宋体" w:hAnsi="宋体"/>
          <w:bCs/>
          <w:color w:val="auto"/>
          <w:spacing w:val="8"/>
          <w:kern w:val="0"/>
          <w:sz w:val="24"/>
        </w:rPr>
        <w:t>电    话：</w:t>
      </w:r>
      <w:r>
        <w:rPr>
          <w:rFonts w:hint="eastAsia" w:ascii="宋体" w:hAnsi="宋体"/>
          <w:bCs/>
          <w:color w:val="auto"/>
          <w:spacing w:val="8"/>
          <w:kern w:val="0"/>
          <w:sz w:val="24"/>
        </w:rPr>
        <w:t xml:space="preserve"> 027-</w:t>
      </w:r>
      <w:r>
        <w:rPr>
          <w:rFonts w:ascii="宋体" w:hAnsi="宋体"/>
          <w:bCs/>
          <w:color w:val="auto"/>
          <w:spacing w:val="8"/>
          <w:kern w:val="0"/>
          <w:sz w:val="24"/>
        </w:rPr>
        <w:t>87657549</w:t>
      </w:r>
    </w:p>
    <w:p>
      <w:pPr>
        <w:autoSpaceDE w:val="0"/>
        <w:autoSpaceDN w:val="0"/>
        <w:adjustRightInd w:val="0"/>
        <w:snapToGrid w:val="0"/>
        <w:spacing w:line="360" w:lineRule="auto"/>
        <w:rPr>
          <w:rFonts w:ascii="宋体" w:hAnsi="宋体"/>
          <w:bCs/>
          <w:color w:val="auto"/>
          <w:spacing w:val="8"/>
          <w:kern w:val="0"/>
          <w:sz w:val="24"/>
        </w:rPr>
      </w:pPr>
      <w:r>
        <w:rPr>
          <w:rFonts w:hint="eastAsia" w:ascii="宋体" w:hAnsi="宋体"/>
          <w:bCs/>
          <w:color w:val="auto"/>
          <w:spacing w:val="8"/>
          <w:kern w:val="0"/>
          <w:sz w:val="24"/>
        </w:rPr>
        <w:t xml:space="preserve"> </w:t>
      </w:r>
    </w:p>
    <w:p>
      <w:pPr>
        <w:spacing w:line="360" w:lineRule="auto"/>
        <w:rPr>
          <w:rFonts w:ascii="宋体" w:hAnsi="宋体" w:cs="宋体"/>
          <w:bCs/>
          <w:color w:val="auto"/>
          <w:sz w:val="24"/>
        </w:rPr>
      </w:pPr>
      <w:r>
        <w:rPr>
          <w:rFonts w:hint="eastAsia" w:ascii="宋体" w:hAnsi="宋体"/>
          <w:bCs/>
          <w:color w:val="auto"/>
          <w:spacing w:val="8"/>
          <w:kern w:val="0"/>
          <w:sz w:val="24"/>
        </w:rPr>
        <w:t>丙    方：</w:t>
      </w:r>
      <w:r>
        <w:rPr>
          <w:rFonts w:hint="eastAsia" w:ascii="宋体" w:hAnsi="宋体"/>
          <w:color w:val="auto"/>
          <w:spacing w:val="8"/>
          <w:kern w:val="0"/>
          <w:sz w:val="24"/>
        </w:rPr>
        <w:t>***</w:t>
      </w:r>
    </w:p>
    <w:p>
      <w:pPr>
        <w:autoSpaceDE w:val="0"/>
        <w:autoSpaceDN w:val="0"/>
        <w:adjustRightInd w:val="0"/>
        <w:snapToGrid w:val="0"/>
        <w:spacing w:line="360" w:lineRule="auto"/>
        <w:rPr>
          <w:rFonts w:ascii="宋体" w:hAnsi="宋体"/>
          <w:color w:val="auto"/>
          <w:spacing w:val="8"/>
          <w:kern w:val="0"/>
          <w:sz w:val="24"/>
        </w:rPr>
      </w:pPr>
      <w:r>
        <w:rPr>
          <w:rFonts w:hint="eastAsia" w:ascii="宋体" w:hAnsi="宋体"/>
          <w:bCs/>
          <w:color w:val="auto"/>
          <w:spacing w:val="8"/>
          <w:kern w:val="0"/>
          <w:sz w:val="24"/>
        </w:rPr>
        <w:t>地    址：</w:t>
      </w:r>
      <w:r>
        <w:rPr>
          <w:rFonts w:hint="eastAsia" w:ascii="宋体" w:hAnsi="宋体"/>
          <w:color w:val="auto"/>
          <w:spacing w:val="8"/>
          <w:kern w:val="0"/>
          <w:sz w:val="24"/>
        </w:rPr>
        <w:t>***</w:t>
      </w:r>
    </w:p>
    <w:p>
      <w:pPr>
        <w:autoSpaceDE w:val="0"/>
        <w:autoSpaceDN w:val="0"/>
        <w:adjustRightInd w:val="0"/>
        <w:snapToGrid w:val="0"/>
        <w:spacing w:line="360" w:lineRule="auto"/>
        <w:rPr>
          <w:rFonts w:ascii="宋体" w:hAnsi="宋体"/>
          <w:color w:val="auto"/>
          <w:spacing w:val="8"/>
          <w:kern w:val="0"/>
          <w:sz w:val="24"/>
        </w:rPr>
      </w:pPr>
      <w:r>
        <w:rPr>
          <w:rFonts w:ascii="宋体" w:hAnsi="宋体"/>
          <w:color w:val="auto"/>
          <w:spacing w:val="8"/>
          <w:kern w:val="0"/>
          <w:sz w:val="24"/>
        </w:rPr>
        <w:t>电    话：</w:t>
      </w:r>
      <w:r>
        <w:rPr>
          <w:rFonts w:hint="eastAsia" w:ascii="宋体" w:hAnsi="宋体"/>
          <w:color w:val="auto"/>
          <w:spacing w:val="8"/>
          <w:kern w:val="0"/>
          <w:sz w:val="24"/>
        </w:rPr>
        <w:t>***</w:t>
      </w:r>
    </w:p>
    <w:p>
      <w:pPr>
        <w:autoSpaceDE w:val="0"/>
        <w:autoSpaceDN w:val="0"/>
        <w:adjustRightInd w:val="0"/>
        <w:snapToGrid w:val="0"/>
        <w:spacing w:line="360" w:lineRule="auto"/>
        <w:ind w:firstLine="512" w:firstLineChars="200"/>
        <w:rPr>
          <w:rFonts w:ascii="宋体" w:hAnsi="宋体"/>
          <w:color w:val="auto"/>
          <w:spacing w:val="8"/>
          <w:kern w:val="0"/>
          <w:sz w:val="24"/>
        </w:rPr>
      </w:pP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根据《中华人民共和国民法典》等法律法规的规定，甲乙丙三方就***项目之***（采购编号：***）购买有关事宜</w:t>
      </w:r>
      <w:r>
        <w:rPr>
          <w:rFonts w:ascii="宋体" w:hAnsi="宋体"/>
          <w:color w:val="auto"/>
          <w:spacing w:val="8"/>
          <w:kern w:val="0"/>
          <w:sz w:val="24"/>
        </w:rPr>
        <w:t>达成一致，订立本</w:t>
      </w:r>
      <w:r>
        <w:rPr>
          <w:rFonts w:hint="eastAsia" w:ascii="宋体" w:hAnsi="宋体"/>
          <w:color w:val="auto"/>
          <w:spacing w:val="8"/>
          <w:kern w:val="0"/>
          <w:sz w:val="24"/>
        </w:rPr>
        <w:t>合同。</w:t>
      </w:r>
    </w:p>
    <w:p>
      <w:pPr>
        <w:autoSpaceDE w:val="0"/>
        <w:autoSpaceDN w:val="0"/>
        <w:adjustRightInd w:val="0"/>
        <w:snapToGrid w:val="0"/>
        <w:spacing w:line="360" w:lineRule="auto"/>
        <w:ind w:firstLine="482" w:firstLineChars="200"/>
        <w:rPr>
          <w:rFonts w:ascii="宋体" w:hAnsi="宋体" w:cs="Arial"/>
          <w:b/>
          <w:bCs/>
          <w:color w:val="auto"/>
          <w:sz w:val="24"/>
        </w:rPr>
      </w:pPr>
      <w:r>
        <w:rPr>
          <w:rFonts w:hint="eastAsia" w:ascii="宋体" w:hAnsi="宋体" w:cs="Arial"/>
          <w:b/>
          <w:bCs/>
          <w:color w:val="auto"/>
          <w:sz w:val="24"/>
        </w:rPr>
        <w:t>一、供货内容及价格</w:t>
      </w:r>
    </w:p>
    <w:p>
      <w:pPr>
        <w:pStyle w:val="40"/>
        <w:spacing w:line="360" w:lineRule="auto"/>
        <w:ind w:firstLine="420"/>
        <w:rPr>
          <w:rFonts w:hAnsi="宋体" w:cs="Arial"/>
          <w:bCs/>
          <w:color w:val="auto"/>
          <w:sz w:val="24"/>
          <w:szCs w:val="24"/>
        </w:rPr>
      </w:pPr>
      <w:r>
        <w:rPr>
          <w:rFonts w:hint="eastAsia" w:hAnsi="宋体" w:cs="Arial"/>
          <w:bCs/>
          <w:color w:val="auto"/>
          <w:sz w:val="24"/>
          <w:szCs w:val="24"/>
        </w:rPr>
        <w:t>合同总价：￥</w:t>
      </w:r>
      <w:r>
        <w:rPr>
          <w:rFonts w:hint="eastAsia" w:hAnsi="宋体"/>
          <w:color w:val="auto"/>
          <w:spacing w:val="8"/>
          <w:kern w:val="0"/>
          <w:sz w:val="24"/>
          <w:szCs w:val="24"/>
        </w:rPr>
        <w:t>***</w:t>
      </w:r>
      <w:r>
        <w:rPr>
          <w:rFonts w:hint="eastAsia" w:hAnsi="宋体" w:cs="Arial"/>
          <w:bCs/>
          <w:color w:val="auto"/>
          <w:sz w:val="24"/>
          <w:szCs w:val="24"/>
        </w:rPr>
        <w:t>元，大写：</w:t>
      </w:r>
      <w:r>
        <w:rPr>
          <w:rFonts w:hint="eastAsia" w:hAnsi="宋体"/>
          <w:color w:val="auto"/>
          <w:spacing w:val="8"/>
          <w:kern w:val="0"/>
          <w:sz w:val="24"/>
          <w:szCs w:val="24"/>
        </w:rPr>
        <w:t>***</w:t>
      </w:r>
      <w:r>
        <w:rPr>
          <w:rFonts w:hint="eastAsia" w:hAnsi="宋体" w:cs="Arial"/>
          <w:bCs/>
          <w:color w:val="auto"/>
          <w:sz w:val="24"/>
          <w:szCs w:val="24"/>
        </w:rPr>
        <w:t xml:space="preserve"> 。</w:t>
      </w:r>
    </w:p>
    <w:p>
      <w:pPr>
        <w:pStyle w:val="40"/>
        <w:spacing w:line="360" w:lineRule="auto"/>
        <w:rPr>
          <w:rFonts w:hAnsi="宋体" w:cs="Arial"/>
          <w:bCs/>
          <w:color w:val="auto"/>
          <w:sz w:val="24"/>
          <w:szCs w:val="24"/>
        </w:rPr>
      </w:pPr>
      <w:r>
        <w:rPr>
          <w:rFonts w:hint="eastAsia" w:hAnsi="宋体" w:cs="Arial"/>
          <w:bCs/>
          <w:color w:val="auto"/>
          <w:sz w:val="24"/>
          <w:szCs w:val="24"/>
        </w:rPr>
        <w:t xml:space="preserve">    </w:t>
      </w:r>
      <w:r>
        <w:rPr>
          <w:rFonts w:hint="eastAsia" w:hAnsi="宋体"/>
          <w:color w:val="auto"/>
          <w:spacing w:val="8"/>
          <w:kern w:val="0"/>
          <w:sz w:val="24"/>
          <w:szCs w:val="24"/>
        </w:rPr>
        <w:t>供货内容及明细价格</w:t>
      </w:r>
      <w:r>
        <w:rPr>
          <w:rFonts w:hint="eastAsia" w:hAnsi="宋体" w:cs="Arial"/>
          <w:bCs/>
          <w:color w:val="auto"/>
          <w:sz w:val="24"/>
          <w:szCs w:val="24"/>
        </w:rPr>
        <w:t>见附件一。</w:t>
      </w:r>
    </w:p>
    <w:p>
      <w:pPr>
        <w:pStyle w:val="40"/>
        <w:tabs>
          <w:tab w:val="left" w:pos="540"/>
        </w:tabs>
        <w:spacing w:line="360" w:lineRule="auto"/>
        <w:ind w:firstLine="480" w:firstLineChars="200"/>
        <w:rPr>
          <w:rFonts w:hAnsi="宋体" w:cs="Arial"/>
          <w:bCs/>
          <w:color w:val="auto"/>
          <w:sz w:val="24"/>
          <w:szCs w:val="24"/>
        </w:rPr>
      </w:pPr>
      <w:r>
        <w:rPr>
          <w:rFonts w:hAnsi="宋体" w:cs="Arial"/>
          <w:bCs/>
          <w:color w:val="auto"/>
          <w:sz w:val="24"/>
          <w:szCs w:val="24"/>
        </w:rPr>
        <w:t>上述</w:t>
      </w:r>
      <w:r>
        <w:rPr>
          <w:rFonts w:hint="eastAsia" w:hAnsi="宋体" w:cs="Arial"/>
          <w:bCs/>
          <w:color w:val="auto"/>
          <w:sz w:val="24"/>
          <w:szCs w:val="24"/>
        </w:rPr>
        <w:t>费用包</w:t>
      </w:r>
      <w:r>
        <w:rPr>
          <w:rFonts w:hAnsi="宋体" w:cs="Arial"/>
          <w:bCs/>
          <w:color w:val="auto"/>
          <w:sz w:val="24"/>
          <w:szCs w:val="24"/>
        </w:rPr>
        <w:t>含</w:t>
      </w:r>
      <w:r>
        <w:rPr>
          <w:rFonts w:hint="eastAsia" w:hAnsi="宋体" w:cs="Arial"/>
          <w:bCs/>
          <w:color w:val="auto"/>
          <w:sz w:val="24"/>
          <w:szCs w:val="24"/>
        </w:rPr>
        <w:t>但不限于设备净价、从出厂到设备安装现场的运保费、安装费、设备*年的保修服务费、配套设备、耗材、软件开发费用及各项税费等一切费用。</w:t>
      </w:r>
    </w:p>
    <w:p>
      <w:pPr>
        <w:autoSpaceDE w:val="0"/>
        <w:autoSpaceDN w:val="0"/>
        <w:adjustRightInd w:val="0"/>
        <w:snapToGrid w:val="0"/>
        <w:spacing w:line="360" w:lineRule="auto"/>
        <w:ind w:firstLine="482" w:firstLineChars="200"/>
        <w:rPr>
          <w:rFonts w:ascii="宋体" w:hAnsi="宋体" w:cs="Arial"/>
          <w:b/>
          <w:bCs/>
          <w:color w:val="auto"/>
          <w:sz w:val="24"/>
        </w:rPr>
      </w:pPr>
      <w:r>
        <w:rPr>
          <w:rFonts w:hint="eastAsia" w:ascii="宋体" w:hAnsi="宋体" w:cs="Arial"/>
          <w:b/>
          <w:bCs/>
          <w:color w:val="auto"/>
          <w:sz w:val="24"/>
        </w:rPr>
        <w:t xml:space="preserve">二、质量保证                                                                                                     </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1. 丙方保证提供的设备为全新的制造商原装货物，满足招标文件所提的“技术及服务要求”。该设备采用原厂包装，设备或其包装上必须标识设备的品牌、制造商及产地，提供设备制造商提供的货物装箱清单及设备质量检验合格证书,货物原产地证书。</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2. 丙方提供货物须满足招标文件中的技术需求、规格说明（</w:t>
      </w:r>
      <w:r>
        <w:rPr>
          <w:rFonts w:ascii="宋体" w:hAnsi="宋体"/>
          <w:color w:val="auto"/>
          <w:spacing w:val="8"/>
          <w:kern w:val="0"/>
          <w:sz w:val="24"/>
        </w:rPr>
        <w:t>包括功能、易使用性、可靠性、可维护性</w:t>
      </w:r>
      <w:r>
        <w:rPr>
          <w:rFonts w:hint="eastAsia" w:ascii="宋体" w:hAnsi="宋体"/>
          <w:color w:val="auto"/>
          <w:spacing w:val="8"/>
          <w:kern w:val="0"/>
          <w:sz w:val="24"/>
        </w:rPr>
        <w:t>、</w:t>
      </w:r>
      <w:r>
        <w:rPr>
          <w:rFonts w:ascii="宋体" w:hAnsi="宋体"/>
          <w:color w:val="auto"/>
          <w:spacing w:val="8"/>
          <w:kern w:val="0"/>
          <w:sz w:val="24"/>
        </w:rPr>
        <w:t>可移植性</w:t>
      </w:r>
      <w:r>
        <w:rPr>
          <w:rFonts w:hint="eastAsia" w:ascii="宋体" w:hAnsi="宋体"/>
          <w:color w:val="auto"/>
          <w:spacing w:val="8"/>
          <w:kern w:val="0"/>
          <w:sz w:val="24"/>
        </w:rPr>
        <w:t>、产品使用性能</w:t>
      </w:r>
      <w:r>
        <w:rPr>
          <w:rFonts w:ascii="宋体" w:hAnsi="宋体"/>
          <w:color w:val="auto"/>
          <w:spacing w:val="8"/>
          <w:kern w:val="0"/>
          <w:sz w:val="24"/>
        </w:rPr>
        <w:t>等</w:t>
      </w:r>
      <w:r>
        <w:rPr>
          <w:rFonts w:hint="eastAsia" w:ascii="宋体" w:hAnsi="宋体"/>
          <w:color w:val="auto"/>
          <w:spacing w:val="8"/>
          <w:kern w:val="0"/>
          <w:sz w:val="24"/>
        </w:rPr>
        <w:t>）</w:t>
      </w:r>
      <w:r>
        <w:rPr>
          <w:rFonts w:ascii="宋体" w:hAnsi="宋体"/>
          <w:color w:val="auto"/>
          <w:spacing w:val="8"/>
          <w:kern w:val="0"/>
          <w:sz w:val="24"/>
        </w:rPr>
        <w:t>，</w:t>
      </w:r>
      <w:r>
        <w:rPr>
          <w:rFonts w:hint="eastAsia" w:ascii="宋体" w:hAnsi="宋体"/>
          <w:color w:val="auto"/>
          <w:spacing w:val="8"/>
          <w:kern w:val="0"/>
          <w:sz w:val="24"/>
        </w:rPr>
        <w:t>保证甲方在正常使用和保养下，均能够满足合同规定的性能、可靠性和扩展性。甲乙丙三方在谈判过程中的谈判文件、谈判响应文件和丙方在谈判过程中对甲乙方的承诺均为本合同的有效组成部分，具有相同法律效力。</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3. 丙方保证提供的技术资料具有正确性、简明性、可操作性和规范性。</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4. 丙方提供的设备软硬件均支持设备使用者目前使用的系统的要求和标准。</w:t>
      </w:r>
    </w:p>
    <w:p>
      <w:pPr>
        <w:autoSpaceDE w:val="0"/>
        <w:autoSpaceDN w:val="0"/>
        <w:adjustRightInd w:val="0"/>
        <w:snapToGrid w:val="0"/>
        <w:spacing w:line="360" w:lineRule="auto"/>
        <w:ind w:firstLine="512" w:firstLineChars="200"/>
        <w:rPr>
          <w:rFonts w:ascii="宋体" w:hAnsi="宋体" w:cs="楷体"/>
          <w:color w:val="auto"/>
          <w:sz w:val="24"/>
        </w:rPr>
      </w:pPr>
      <w:r>
        <w:rPr>
          <w:rFonts w:hint="eastAsia" w:ascii="宋体" w:hAnsi="宋体"/>
          <w:color w:val="auto"/>
          <w:spacing w:val="8"/>
          <w:kern w:val="0"/>
          <w:sz w:val="24"/>
        </w:rPr>
        <w:t>5. 丙方提供的***</w:t>
      </w:r>
      <w:r>
        <w:rPr>
          <w:rFonts w:hint="eastAsia" w:ascii="宋体" w:hAnsi="宋体" w:cs="楷体"/>
          <w:color w:val="auto"/>
          <w:sz w:val="24"/>
        </w:rPr>
        <w:t>机</w:t>
      </w:r>
      <w:r>
        <w:rPr>
          <w:rFonts w:hint="eastAsia" w:ascii="宋体" w:hAnsi="宋体" w:cs="宋体"/>
          <w:color w:val="auto"/>
          <w:sz w:val="24"/>
        </w:rPr>
        <w:t>，通过</w:t>
      </w:r>
      <w:r>
        <w:rPr>
          <w:rFonts w:hint="eastAsia" w:ascii="宋体" w:hAnsi="宋体"/>
          <w:color w:val="auto"/>
          <w:spacing w:val="8"/>
          <w:kern w:val="0"/>
          <w:sz w:val="24"/>
        </w:rPr>
        <w:t>***</w:t>
      </w:r>
      <w:r>
        <w:rPr>
          <w:rFonts w:hint="eastAsia" w:ascii="宋体" w:hAnsi="宋体" w:cs="宋体"/>
          <w:color w:val="auto"/>
          <w:sz w:val="24"/>
        </w:rPr>
        <w:t>认证机构认证；承诺</w:t>
      </w:r>
      <w:r>
        <w:rPr>
          <w:rFonts w:hint="eastAsia" w:ascii="宋体" w:hAnsi="宋体"/>
          <w:color w:val="auto"/>
          <w:spacing w:val="8"/>
          <w:kern w:val="0"/>
          <w:sz w:val="24"/>
        </w:rPr>
        <w:t>***</w:t>
      </w:r>
      <w:r>
        <w:rPr>
          <w:rFonts w:hint="eastAsia" w:ascii="宋体" w:hAnsi="宋体" w:cs="宋体"/>
          <w:color w:val="auto"/>
          <w:sz w:val="24"/>
        </w:rPr>
        <w:t>时，同时免费升级</w:t>
      </w:r>
      <w:r>
        <w:rPr>
          <w:rFonts w:hint="eastAsia" w:ascii="宋体" w:hAnsi="宋体" w:cs="宋体"/>
          <w:color w:val="auto"/>
          <w:sz w:val="24"/>
          <w:u w:val="single"/>
        </w:rPr>
        <w:t xml:space="preserve">       </w:t>
      </w:r>
      <w:r>
        <w:rPr>
          <w:rFonts w:hint="eastAsia" w:ascii="宋体" w:hAnsi="宋体" w:cs="宋体"/>
          <w:color w:val="auto"/>
          <w:sz w:val="24"/>
        </w:rPr>
        <w:t>模块；如果</w:t>
      </w:r>
      <w:r>
        <w:rPr>
          <w:rFonts w:hint="eastAsia" w:ascii="宋体" w:hAnsi="宋体"/>
          <w:color w:val="auto"/>
          <w:spacing w:val="8"/>
          <w:kern w:val="0"/>
          <w:sz w:val="24"/>
        </w:rPr>
        <w:t>***</w:t>
      </w:r>
      <w:r>
        <w:rPr>
          <w:rFonts w:hint="eastAsia" w:ascii="宋体" w:hAnsi="宋体" w:cs="宋体"/>
          <w:color w:val="auto"/>
          <w:sz w:val="24"/>
        </w:rPr>
        <w:t>，丙方等额赔付</w:t>
      </w:r>
      <w:r>
        <w:rPr>
          <w:rFonts w:hint="eastAsia" w:ascii="宋体" w:hAnsi="宋体" w:cs="楷体"/>
          <w:color w:val="auto"/>
          <w:sz w:val="24"/>
        </w:rPr>
        <w:t>。（根据购买内容作为可选条款）</w:t>
      </w:r>
    </w:p>
    <w:p>
      <w:pPr>
        <w:autoSpaceDE w:val="0"/>
        <w:autoSpaceDN w:val="0"/>
        <w:adjustRightInd w:val="0"/>
        <w:snapToGrid w:val="0"/>
        <w:spacing w:line="360" w:lineRule="auto"/>
        <w:ind w:firstLine="482" w:firstLineChars="200"/>
        <w:rPr>
          <w:rFonts w:ascii="宋体" w:hAnsi="宋体" w:cs="Arial"/>
          <w:b/>
          <w:bCs/>
          <w:color w:val="auto"/>
          <w:sz w:val="24"/>
        </w:rPr>
      </w:pPr>
      <w:r>
        <w:rPr>
          <w:rFonts w:hint="eastAsia" w:ascii="宋体" w:hAnsi="宋体" w:cs="Arial"/>
          <w:b/>
          <w:bCs/>
          <w:color w:val="auto"/>
          <w:sz w:val="24"/>
        </w:rPr>
        <w:t>三、产品的包装、运输</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1. 丙方提供的货物应为原厂包装，能够防止货物在运输中损坏或变质。这类包装应采取防潮、防晒、防锈、防腐蚀、防震动及防止其它损坏的必要保护措施，从而保护货物能够经受多次搬运、装卸及长途运输。丙方应承担因包装或防护措施不当所造成任何损失的责任。</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2. 丙方负责安排恰当的运输工具，并支付运费，确保按期交货。交付之前若出现损失或其他风险，责任由丙方承担。</w:t>
      </w:r>
    </w:p>
    <w:p>
      <w:pPr>
        <w:autoSpaceDE w:val="0"/>
        <w:autoSpaceDN w:val="0"/>
        <w:adjustRightInd w:val="0"/>
        <w:snapToGrid w:val="0"/>
        <w:spacing w:line="360" w:lineRule="auto"/>
        <w:ind w:firstLine="482" w:firstLineChars="200"/>
        <w:rPr>
          <w:rFonts w:ascii="宋体" w:hAnsi="宋体" w:cs="Arial"/>
          <w:b/>
          <w:bCs/>
          <w:color w:val="auto"/>
          <w:sz w:val="24"/>
        </w:rPr>
      </w:pPr>
      <w:r>
        <w:rPr>
          <w:rFonts w:hint="eastAsia" w:ascii="宋体" w:hAnsi="宋体" w:cs="Arial"/>
          <w:b/>
          <w:bCs/>
          <w:color w:val="auto"/>
          <w:sz w:val="24"/>
        </w:rPr>
        <w:t>四、产品的交付及验收</w:t>
      </w:r>
    </w:p>
    <w:p>
      <w:pPr>
        <w:autoSpaceDE w:val="0"/>
        <w:autoSpaceDN w:val="0"/>
        <w:adjustRightInd w:val="0"/>
        <w:snapToGrid w:val="0"/>
        <w:spacing w:line="360" w:lineRule="auto"/>
        <w:ind w:firstLine="512" w:firstLineChars="200"/>
        <w:rPr>
          <w:rFonts w:ascii="宋体" w:hAnsi="宋体"/>
          <w:color w:val="auto"/>
          <w:sz w:val="24"/>
        </w:rPr>
      </w:pPr>
      <w:r>
        <w:rPr>
          <w:rFonts w:hint="eastAsia" w:ascii="宋体" w:hAnsi="宋体"/>
          <w:color w:val="auto"/>
          <w:spacing w:val="8"/>
          <w:kern w:val="0"/>
          <w:sz w:val="24"/>
        </w:rPr>
        <w:t>1. 产品的交货期限为：</w:t>
      </w:r>
      <w:r>
        <w:rPr>
          <w:rFonts w:hint="eastAsia" w:ascii="宋体" w:hAnsi="宋体"/>
          <w:color w:val="auto"/>
          <w:sz w:val="24"/>
        </w:rPr>
        <w:t>合同签订后</w:t>
      </w:r>
      <w:r>
        <w:rPr>
          <w:rFonts w:hint="eastAsia" w:ascii="宋体" w:hAnsi="宋体"/>
          <w:color w:val="auto"/>
          <w:spacing w:val="8"/>
          <w:kern w:val="0"/>
          <w:sz w:val="24"/>
        </w:rPr>
        <w:t>***</w:t>
      </w:r>
      <w:r>
        <w:rPr>
          <w:rFonts w:hint="eastAsia" w:ascii="宋体" w:hAnsi="宋体"/>
          <w:color w:val="auto"/>
          <w:sz w:val="24"/>
        </w:rPr>
        <w:t>个工作日完成设备到位、安装，整个系统顺利运行。</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2. 设备运抵交货地，乙方授权甲方对丙方的货物进行接收。</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3. 收货过程中，因交付设备的部分或全部不符合本合同约定的数量、质量标准，外观变形或损坏，丙方应按甲方要求在10日内更换、补齐，确保所交付的设备完好无损。否则甲方可以拒绝接受该设备，由此给乙方造成的损失由丙方赔偿。</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4. 在到货后30日内，如果甲方发现货物内在的、非显而易见的损坏，或者货物的质量与合同规定不符，或者在货物质量保证期内证实货物是有缺陷的（包括潜在的缺陷或使用不符合要求的材料等），甲方有权要求丙方免费更换有缺陷的货物或部件。丙方应在收到甲方关于货物缺陷的通知后30日内免费更换有缺陷的货物或部件，相关费用由丙方承担。</w:t>
      </w:r>
    </w:p>
    <w:p>
      <w:pPr>
        <w:autoSpaceDE w:val="0"/>
        <w:autoSpaceDN w:val="0"/>
        <w:adjustRightInd w:val="0"/>
        <w:snapToGrid w:val="0"/>
        <w:spacing w:line="360" w:lineRule="auto"/>
        <w:ind w:firstLine="482" w:firstLineChars="200"/>
        <w:rPr>
          <w:rFonts w:ascii="宋体" w:hAnsi="宋体" w:cs="Arial"/>
          <w:b/>
          <w:bCs/>
          <w:color w:val="auto"/>
          <w:sz w:val="24"/>
        </w:rPr>
      </w:pPr>
      <w:r>
        <w:rPr>
          <w:rFonts w:hint="eastAsia" w:ascii="宋体" w:hAnsi="宋体" w:cs="Arial"/>
          <w:b/>
          <w:bCs/>
          <w:color w:val="auto"/>
          <w:sz w:val="24"/>
        </w:rPr>
        <w:t>五、安装、调试与验收</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1. 安装调试完毕，按照《信息化项目相关工作环节指南》相关要求，对试运行设备进行验收，验收合格后，甲乙双方签署《华中农业大学与汉口银行银校合作信息化建设项目验收报告》，并视为设备交付使用。</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2. 设备安装测试验收完毕，丙方向乙方提供设备安装、运行、使用、测试、诊断和维修的技术文档，提供所购设备的安装指南、用户手册。</w:t>
      </w:r>
    </w:p>
    <w:p>
      <w:pPr>
        <w:autoSpaceDE w:val="0"/>
        <w:autoSpaceDN w:val="0"/>
        <w:adjustRightInd w:val="0"/>
        <w:snapToGrid w:val="0"/>
        <w:spacing w:line="360" w:lineRule="auto"/>
        <w:ind w:firstLine="482" w:firstLineChars="200"/>
        <w:rPr>
          <w:rFonts w:ascii="宋体" w:hAnsi="宋体" w:cs="Arial"/>
          <w:b/>
          <w:bCs/>
          <w:color w:val="auto"/>
          <w:sz w:val="24"/>
        </w:rPr>
      </w:pPr>
      <w:r>
        <w:rPr>
          <w:rFonts w:hint="eastAsia" w:ascii="宋体" w:hAnsi="宋体" w:cs="Arial"/>
          <w:b/>
          <w:bCs/>
          <w:color w:val="auto"/>
          <w:sz w:val="24"/>
        </w:rPr>
        <w:t>六、设备保修</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1. 丙方承诺向乙方提供本合同所涉及硬件设备***年免费（包含但不限于免维修费、免人工费、免配件费、免差旅费等）上门维保服务。保修日期自验收合格之日起计算。质保期内所有因更换或修理部件而导致设备停止运行的，质保期将按照停运天数（按24小时计算）相应延长。</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 xml:space="preserve">2. </w:t>
      </w:r>
      <w:r>
        <w:rPr>
          <w:rFonts w:hint="eastAsia" w:ascii="宋体" w:hAnsi="宋体"/>
          <w:color w:val="auto"/>
          <w:sz w:val="24"/>
        </w:rPr>
        <w:t>丙方对于本次投入设备的核心部件维持5%的存货水平。</w:t>
      </w:r>
      <w:r>
        <w:rPr>
          <w:rFonts w:hint="eastAsia" w:ascii="宋体" w:hAnsi="宋体"/>
          <w:color w:val="auto"/>
          <w:spacing w:val="8"/>
          <w:kern w:val="0"/>
          <w:sz w:val="24"/>
        </w:rPr>
        <w:t>质保期内，丙方免费更换正常使用下损坏的配件，免费提供维保、平台及终端软件升级、补丁程序及技术支持等服务，保证设备软硬件系统正常运行。若因丙方维护不及时影响到乙方及最终用户的业务开展，造成的损失由丙方承担。</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3. 质保期内更换的配件是原厂商生产的新配件，被替换下来的配件属于丙方的财产，而替换配件则成为乙方的财产。</w:t>
      </w:r>
    </w:p>
    <w:p>
      <w:pPr>
        <w:autoSpaceDE w:val="0"/>
        <w:autoSpaceDN w:val="0"/>
        <w:adjustRightInd w:val="0"/>
        <w:snapToGrid w:val="0"/>
        <w:spacing w:line="360" w:lineRule="auto"/>
        <w:ind w:firstLine="482" w:firstLineChars="200"/>
        <w:rPr>
          <w:rFonts w:ascii="宋体" w:hAnsi="宋体" w:cs="Arial"/>
          <w:b/>
          <w:bCs/>
          <w:color w:val="auto"/>
          <w:sz w:val="24"/>
        </w:rPr>
      </w:pPr>
      <w:r>
        <w:rPr>
          <w:rFonts w:hint="eastAsia" w:ascii="宋体" w:hAnsi="宋体" w:cs="Arial"/>
          <w:b/>
          <w:bCs/>
          <w:color w:val="auto"/>
          <w:sz w:val="24"/>
        </w:rPr>
        <w:t>七、售后服务</w:t>
      </w:r>
    </w:p>
    <w:p>
      <w:pPr>
        <w:tabs>
          <w:tab w:val="left" w:pos="540"/>
        </w:tabs>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1. 产品故障报修的响应时间：全年1小时实质响应，如需要上门服务，2小时到达现场。用户能享受全年365天和全天24小时的上门服务。</w:t>
      </w:r>
    </w:p>
    <w:p>
      <w:pPr>
        <w:tabs>
          <w:tab w:val="left" w:pos="540"/>
        </w:tabs>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2. 如果产品故障在检修3小时后仍无法排除，丙方应在24小时内提供不低于故障产品规格、档次的备用产品供使用单位使用，直至故障产品修复；</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3. 定期巡访：丙方定期（每年四次）对乙方所购设备进行现场维护保养、咨询、升级服务，及时发现并解决问题，按年、季、月份为甲方和乙方提供设备维护报告。</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4. 软件支持：质保期内，丙方免费为乙方提供软件维护和软件兼容性问题的技术支持服务，确保设备软件系统正常运行，由于乙方业务需求的变更、新的金融业务的开展或者后台业务系统升级等原因，在设备质保期内，丙方免费负责开发并提供技术支持。</w:t>
      </w:r>
    </w:p>
    <w:p>
      <w:pPr>
        <w:adjustRightIn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5. 硬件维保：</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（1）免费质保期</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丙方对本合同设备提供***个月的免费质保期，质保期从验收合格之日起计。质保期届满之后，甲、丙双方另行协商签订设备续保服务协议。</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（2）保修服务方式</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丙方对甲方的故障请求将首先提供电话技术咨询和支持服务，对电话技术咨询和支持服务不能解决的问题将派出技术工程师提供现场技术支持服务。</w:t>
      </w:r>
    </w:p>
    <w:p>
      <w:pPr>
        <w:adjustRightInd w:val="0"/>
        <w:spacing w:line="360" w:lineRule="auto"/>
        <w:rPr>
          <w:rFonts w:ascii="宋体" w:hAnsi="宋体"/>
          <w:color w:val="auto"/>
          <w:sz w:val="24"/>
        </w:rPr>
      </w:pPr>
      <w:r>
        <w:rPr>
          <w:rFonts w:hint="eastAsia" w:ascii="宋体" w:hAnsi="宋体"/>
          <w:color w:val="auto"/>
          <w:sz w:val="24"/>
        </w:rPr>
        <w:t xml:space="preserve">    （3）保修服务内容</w:t>
      </w:r>
    </w:p>
    <w:p>
      <w:pPr>
        <w:adjustRightInd w:val="0"/>
        <w:spacing w:line="360" w:lineRule="auto"/>
        <w:ind w:firstLine="512" w:firstLineChars="200"/>
        <w:rPr>
          <w:rFonts w:ascii="宋体" w:hAnsi="宋体"/>
          <w:color w:val="auto"/>
          <w:sz w:val="24"/>
          <w:u w:val="single"/>
        </w:rPr>
      </w:pPr>
      <w:r>
        <w:rPr>
          <w:rFonts w:hint="eastAsia" w:ascii="宋体" w:hAnsi="宋体"/>
          <w:color w:val="auto"/>
          <w:spacing w:val="8"/>
          <w:kern w:val="0"/>
          <w:sz w:val="24"/>
        </w:rPr>
        <w:t>非甲方人为因素、不可抗力因素造成的设备损坏，丙方提供免费维修及更换。但对于人</w:t>
      </w:r>
      <w:r>
        <w:rPr>
          <w:rFonts w:hint="eastAsia" w:ascii="宋体" w:hAnsi="宋体"/>
          <w:color w:val="auto"/>
          <w:sz w:val="24"/>
        </w:rPr>
        <w:t>为因素、不可抗力因素造成的设备故障，丙方将协助甲方进行修复，更换的零部件费用由甲方支付。</w:t>
      </w:r>
    </w:p>
    <w:p>
      <w:pPr>
        <w:adjustRightInd w:val="0"/>
        <w:spacing w:line="360" w:lineRule="auto"/>
        <w:rPr>
          <w:rFonts w:ascii="宋体" w:hAnsi="宋体"/>
          <w:color w:val="auto"/>
          <w:sz w:val="24"/>
        </w:rPr>
      </w:pPr>
      <w:r>
        <w:rPr>
          <w:rFonts w:hint="eastAsia" w:ascii="宋体" w:hAnsi="宋体"/>
          <w:color w:val="auto"/>
          <w:sz w:val="24"/>
        </w:rPr>
        <w:t xml:space="preserve">    （4）保修服务响应时间</w:t>
      </w:r>
    </w:p>
    <w:p>
      <w:pPr>
        <w:adjustRightInd w:val="0"/>
        <w:spacing w:line="360" w:lineRule="auto"/>
        <w:ind w:firstLine="480" w:firstLineChars="200"/>
        <w:rPr>
          <w:rFonts w:ascii="宋体" w:hAnsi="宋体"/>
          <w:color w:val="auto"/>
          <w:sz w:val="24"/>
        </w:rPr>
      </w:pPr>
      <w:r>
        <w:rPr>
          <w:rFonts w:hint="eastAsia" w:ascii="宋体" w:hAnsi="宋体"/>
          <w:color w:val="auto"/>
          <w:sz w:val="24"/>
        </w:rPr>
        <w:t>丙方电话技术咨询和支持服务的响应时间为全年7*24小时（含国家规定的节假日）。</w:t>
      </w:r>
    </w:p>
    <w:p>
      <w:pPr>
        <w:adjustRightInd w:val="0"/>
        <w:spacing w:line="360" w:lineRule="auto"/>
        <w:ind w:firstLine="480" w:firstLineChars="200"/>
        <w:rPr>
          <w:rFonts w:ascii="宋体" w:hAnsi="宋体"/>
          <w:color w:val="auto"/>
          <w:sz w:val="24"/>
        </w:rPr>
      </w:pPr>
      <w:r>
        <w:rPr>
          <w:rFonts w:hint="eastAsia" w:ascii="宋体" w:hAnsi="宋体"/>
          <w:color w:val="auto"/>
          <w:sz w:val="24"/>
        </w:rPr>
        <w:t>丙方现场技术支持服务响应时间为自接到甲方故障请求信息后的2小时之内到达甲方的设备现场，丙方承诺在到达甲方现场后平均 2小时内修复故障并保证设备恢复正常工作。</w:t>
      </w:r>
    </w:p>
    <w:p>
      <w:pPr>
        <w:adjustRightInd w:val="0"/>
        <w:spacing w:line="360" w:lineRule="auto"/>
        <w:ind w:firstLine="360" w:firstLineChars="150"/>
        <w:rPr>
          <w:rFonts w:ascii="宋体" w:hAnsi="宋体"/>
          <w:color w:val="auto"/>
          <w:sz w:val="24"/>
        </w:rPr>
      </w:pPr>
      <w:r>
        <w:rPr>
          <w:rFonts w:hint="eastAsia" w:ascii="宋体" w:hAnsi="宋体"/>
          <w:color w:val="auto"/>
          <w:sz w:val="24"/>
        </w:rPr>
        <w:t xml:space="preserve"> （5）保修服务联系方式</w:t>
      </w:r>
    </w:p>
    <w:p>
      <w:pPr>
        <w:adjustRightInd w:val="0"/>
        <w:spacing w:line="360" w:lineRule="auto"/>
        <w:rPr>
          <w:rFonts w:ascii="宋体" w:hAnsi="宋体"/>
          <w:color w:val="auto"/>
          <w:sz w:val="24"/>
        </w:rPr>
      </w:pPr>
      <w:r>
        <w:rPr>
          <w:rFonts w:hint="eastAsia" w:ascii="宋体" w:hAnsi="宋体"/>
          <w:color w:val="auto"/>
          <w:sz w:val="24"/>
        </w:rPr>
        <w:t xml:space="preserve">    丙方的电话技术咨询和现场支持服务号码为：</w:t>
      </w:r>
      <w:r>
        <w:rPr>
          <w:rFonts w:hint="eastAsia" w:ascii="宋体" w:hAnsi="宋体"/>
          <w:color w:val="auto"/>
          <w:spacing w:val="8"/>
          <w:kern w:val="0"/>
          <w:sz w:val="24"/>
        </w:rPr>
        <w:t>***</w:t>
      </w:r>
    </w:p>
    <w:p>
      <w:pPr>
        <w:snapToGrid w:val="0"/>
        <w:spacing w:line="360" w:lineRule="auto"/>
        <w:ind w:firstLine="480" w:firstLineChars="200"/>
        <w:rPr>
          <w:rFonts w:ascii="宋体" w:hAnsi="宋体"/>
          <w:color w:val="auto"/>
          <w:sz w:val="24"/>
          <w:u w:val="single"/>
        </w:rPr>
      </w:pPr>
      <w:r>
        <w:rPr>
          <w:rFonts w:hint="eastAsia" w:ascii="宋体" w:hAnsi="宋体"/>
          <w:color w:val="auto"/>
          <w:sz w:val="24"/>
        </w:rPr>
        <w:t>丙方公司总部：</w:t>
      </w:r>
      <w:r>
        <w:rPr>
          <w:rFonts w:hint="eastAsia" w:ascii="宋体" w:hAnsi="宋体"/>
          <w:color w:val="auto"/>
          <w:spacing w:val="8"/>
          <w:kern w:val="0"/>
          <w:sz w:val="24"/>
        </w:rPr>
        <w:t>***</w:t>
      </w:r>
    </w:p>
    <w:p>
      <w:pPr>
        <w:snapToGrid w:val="0"/>
        <w:spacing w:line="360" w:lineRule="auto"/>
        <w:ind w:firstLine="480" w:firstLineChars="200"/>
        <w:rPr>
          <w:rFonts w:ascii="宋体" w:hAnsi="宋体"/>
          <w:color w:val="auto"/>
          <w:sz w:val="24"/>
          <w:u w:val="single"/>
        </w:rPr>
      </w:pPr>
      <w:r>
        <w:rPr>
          <w:rFonts w:hint="eastAsia" w:ascii="宋体" w:hAnsi="宋体"/>
          <w:color w:val="auto"/>
          <w:sz w:val="24"/>
        </w:rPr>
        <w:t>武汉办事处：</w:t>
      </w:r>
      <w:r>
        <w:rPr>
          <w:rFonts w:hint="eastAsia" w:ascii="宋体" w:hAnsi="宋体"/>
          <w:color w:val="auto"/>
          <w:spacing w:val="8"/>
          <w:kern w:val="0"/>
          <w:sz w:val="24"/>
        </w:rPr>
        <w:t>***</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6）用户档案：自设备安装之日起，丙方为甲方建立产品使用、维护档案，在设备安装后和每一次故障排除之后，丙方都应做详细地记载，对每一次故障均做出详细故障原因分析报告，并由维护工程师更新、完善数据记录，以此为甲方提供设备维护资料和数据，及时给出适当的建议，使甲方通过档案可以有效地了解每台设备的使用情况，安排预防维护计划。</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（7）技术交流、培训：丙方在收到甲方要求提供培训的函件10日内，丙方工程师对甲方和甲方指定用户有关人员免费进行现场培训，使操作人员能正确地掌握产品的技术性能、安装、调试、维护、保养方法。</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（8）服务响应：针对甲方采取专员负责响应</w:t>
      </w:r>
    </w:p>
    <w:p>
      <w:pPr>
        <w:autoSpaceDE w:val="0"/>
        <w:autoSpaceDN w:val="0"/>
        <w:adjustRightInd w:val="0"/>
        <w:snapToGrid w:val="0"/>
        <w:spacing w:line="360" w:lineRule="auto"/>
        <w:ind w:firstLine="1152" w:firstLineChars="450"/>
        <w:rPr>
          <w:rFonts w:ascii="宋体" w:hAnsi="宋体"/>
          <w:color w:val="auto"/>
          <w:spacing w:val="8"/>
          <w:kern w:val="0"/>
          <w:sz w:val="24"/>
          <w:highlight w:val="yellow"/>
        </w:rPr>
      </w:pPr>
      <w:r>
        <w:rPr>
          <w:rFonts w:hint="eastAsia" w:ascii="宋体" w:hAnsi="宋体"/>
          <w:color w:val="auto"/>
          <w:spacing w:val="8"/>
          <w:kern w:val="0"/>
          <w:sz w:val="24"/>
        </w:rPr>
        <w:t xml:space="preserve">联系人： *** </w:t>
      </w:r>
    </w:p>
    <w:p>
      <w:pPr>
        <w:autoSpaceDE w:val="0"/>
        <w:autoSpaceDN w:val="0"/>
        <w:adjustRightInd w:val="0"/>
        <w:snapToGrid w:val="0"/>
        <w:spacing w:line="360" w:lineRule="auto"/>
        <w:ind w:firstLine="1152" w:firstLineChars="450"/>
        <w:rPr>
          <w:rFonts w:ascii="宋体" w:hAnsi="宋体"/>
          <w:color w:val="auto"/>
          <w:spacing w:val="8"/>
          <w:kern w:val="0"/>
          <w:sz w:val="24"/>
        </w:rPr>
      </w:pPr>
      <w:r>
        <w:rPr>
          <w:rFonts w:hint="eastAsia" w:ascii="宋体" w:hAnsi="宋体"/>
          <w:color w:val="auto"/>
          <w:spacing w:val="8"/>
          <w:kern w:val="0"/>
          <w:sz w:val="24"/>
        </w:rPr>
        <w:t>联系电话：***</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（9）其他：如因丙方设备自身缺陷或维护不及时而给甲方造成损失，丙方应承担相应的赔偿责任。</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6. 其它投标承诺：***</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（此处根据投标实际承诺情况填写）</w:t>
      </w:r>
    </w:p>
    <w:p>
      <w:pPr>
        <w:autoSpaceDE w:val="0"/>
        <w:autoSpaceDN w:val="0"/>
        <w:adjustRightInd w:val="0"/>
        <w:snapToGrid w:val="0"/>
        <w:spacing w:line="360" w:lineRule="auto"/>
        <w:ind w:firstLine="482" w:firstLineChars="200"/>
        <w:rPr>
          <w:rFonts w:ascii="宋体" w:hAnsi="宋体" w:cs="Arial"/>
          <w:b/>
          <w:bCs/>
          <w:color w:val="auto"/>
          <w:sz w:val="24"/>
        </w:rPr>
      </w:pPr>
      <w:r>
        <w:rPr>
          <w:rFonts w:hint="eastAsia" w:ascii="宋体" w:hAnsi="宋体" w:cs="Arial"/>
          <w:b/>
          <w:bCs/>
          <w:color w:val="auto"/>
          <w:sz w:val="24"/>
        </w:rPr>
        <w:t>八、丙方对乙方的特别承诺</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1. 在设备软件升级改造增加新功能时，丙方应在一个工作日内作出响应并提交初步方案。</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2. 甲方新增业务，在设备质保期内丙方免费负责开发并提供技术支持，质保期内丙方承诺免费升级该项目应用的甲方软件系统。</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3. 丙方发现设备硬件和软件有设计缺陷和质量问题时，须主动通知甲方用户，并免费进行硬件的更新和软件的升级。</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4. 丙方须免费提供项目的相关技术文档。</w:t>
      </w:r>
    </w:p>
    <w:p>
      <w:pPr>
        <w:autoSpaceDE w:val="0"/>
        <w:autoSpaceDN w:val="0"/>
        <w:adjustRightInd w:val="0"/>
        <w:snapToGrid w:val="0"/>
        <w:spacing w:line="360" w:lineRule="auto"/>
        <w:ind w:firstLine="482" w:firstLineChars="200"/>
        <w:rPr>
          <w:rFonts w:ascii="宋体" w:hAnsi="宋体" w:cs="Arial"/>
          <w:b/>
          <w:bCs/>
          <w:color w:val="auto"/>
          <w:sz w:val="24"/>
        </w:rPr>
      </w:pPr>
      <w:r>
        <w:rPr>
          <w:rFonts w:hint="eastAsia" w:ascii="宋体" w:hAnsi="宋体" w:cs="Arial"/>
          <w:b/>
          <w:bCs/>
          <w:color w:val="auto"/>
          <w:sz w:val="24"/>
        </w:rPr>
        <w:t>九、 货款的支付</w:t>
      </w:r>
    </w:p>
    <w:p>
      <w:pPr>
        <w:autoSpaceDE w:val="0"/>
        <w:autoSpaceDN w:val="0"/>
        <w:adjustRightInd w:val="0"/>
        <w:snapToGrid w:val="0"/>
        <w:spacing w:line="360" w:lineRule="auto"/>
        <w:ind w:firstLine="480" w:firstLineChars="200"/>
        <w:rPr>
          <w:rFonts w:ascii="宋体" w:hAnsi="宋体" w:cs="宋体"/>
          <w:color w:val="auto"/>
          <w:sz w:val="24"/>
          <w:shd w:val="clear" w:color="auto" w:fill="FFFFFF"/>
        </w:rPr>
      </w:pPr>
      <w:r>
        <w:rPr>
          <w:rFonts w:hint="eastAsia" w:ascii="宋体" w:hAnsi="宋体" w:cs="MS Gothic"/>
          <w:color w:val="auto"/>
          <w:sz w:val="24"/>
          <w:shd w:val="clear" w:color="auto" w:fill="FFFFFF"/>
        </w:rPr>
        <w:t>1</w:t>
      </w:r>
      <w:r>
        <w:rPr>
          <w:rFonts w:ascii="宋体" w:hAnsi="宋体" w:cs="MS Gothic"/>
          <w:color w:val="auto"/>
          <w:sz w:val="24"/>
          <w:shd w:val="clear" w:color="auto" w:fill="FFFFFF"/>
        </w:rPr>
        <w:t>.</w:t>
      </w:r>
      <w:r>
        <w:rPr>
          <w:rFonts w:hint="eastAsia" w:ascii="宋体" w:hAnsi="宋体" w:cs="MS Gothic"/>
          <w:color w:val="auto"/>
          <w:sz w:val="24"/>
          <w:shd w:val="clear" w:color="auto" w:fill="FFFFFF"/>
        </w:rPr>
        <w:t>货款支付：所有</w:t>
      </w:r>
      <w:r>
        <w:rPr>
          <w:rFonts w:hint="eastAsia" w:ascii="宋体" w:hAnsi="宋体" w:cs="宋体"/>
          <w:color w:val="auto"/>
          <w:sz w:val="24"/>
          <w:shd w:val="clear" w:color="auto" w:fill="FFFFFF"/>
        </w:rPr>
        <w:t>设备</w:t>
      </w:r>
      <w:r>
        <w:rPr>
          <w:rFonts w:hint="eastAsia" w:ascii="宋体" w:hAnsi="宋体"/>
          <w:color w:val="auto"/>
          <w:spacing w:val="8"/>
          <w:kern w:val="0"/>
          <w:sz w:val="24"/>
        </w:rPr>
        <w:t>安装调试完毕并验收合格后，并投入正常使用，甲乙双方对设备运行无</w:t>
      </w:r>
      <w:r>
        <w:rPr>
          <w:rFonts w:hint="eastAsia" w:ascii="宋体" w:hAnsi="宋体"/>
          <w:color w:val="auto"/>
          <w:sz w:val="24"/>
          <w:shd w:val="clear" w:color="auto" w:fill="FFFFFF"/>
        </w:rPr>
        <w:t>异议后，</w:t>
      </w:r>
      <w:r>
        <w:rPr>
          <w:rFonts w:hint="eastAsia" w:ascii="宋体" w:hAnsi="宋体"/>
          <w:color w:val="auto"/>
          <w:spacing w:val="8"/>
          <w:kern w:val="0"/>
          <w:sz w:val="24"/>
        </w:rPr>
        <w:t>签署《华中农业大学与汉口银行银校合作信息化建设项目验收报告》，甲方向乙方出具“银校合作信息化建设项目申请付款通知”，丙方在乙方开立收款账户，并向乙方开具进度款等额发票，</w:t>
      </w:r>
      <w:r>
        <w:rPr>
          <w:rFonts w:hint="eastAsia" w:ascii="宋体" w:hAnsi="宋体"/>
          <w:color w:val="auto"/>
          <w:sz w:val="24"/>
          <w:shd w:val="clear" w:color="auto" w:fill="FFFFFF"/>
        </w:rPr>
        <w:t>乙方向丙方所开立账户支付合同</w:t>
      </w:r>
      <w:r>
        <w:rPr>
          <w:rFonts w:hint="eastAsia" w:ascii="宋体" w:hAnsi="宋体" w:cs="宋体"/>
          <w:color w:val="auto"/>
          <w:sz w:val="24"/>
          <w:shd w:val="clear" w:color="auto" w:fill="FFFFFF"/>
        </w:rPr>
        <w:t>总</w:t>
      </w:r>
      <w:r>
        <w:rPr>
          <w:rFonts w:hint="eastAsia" w:ascii="宋体" w:hAnsi="宋体" w:cs="MS Gothic"/>
          <w:color w:val="auto"/>
          <w:sz w:val="24"/>
          <w:shd w:val="clear" w:color="auto" w:fill="FFFFFF"/>
        </w:rPr>
        <w:t>价的100</w:t>
      </w:r>
      <w:r>
        <w:rPr>
          <w:rFonts w:hint="eastAsia" w:ascii="宋体" w:hAnsi="宋体"/>
          <w:color w:val="auto"/>
          <w:sz w:val="24"/>
          <w:shd w:val="clear" w:color="auto" w:fill="FFFFFF"/>
        </w:rPr>
        <w:t>%（人民币：</w:t>
      </w:r>
      <w:r>
        <w:rPr>
          <w:rFonts w:hint="eastAsia" w:ascii="宋体" w:hAnsi="宋体" w:cs="Arial"/>
          <w:bCs/>
          <w:color w:val="auto"/>
          <w:sz w:val="24"/>
        </w:rPr>
        <w:t>￥</w:t>
      </w:r>
      <w:r>
        <w:rPr>
          <w:rFonts w:hint="eastAsia" w:ascii="宋体" w:hAnsi="宋体"/>
          <w:color w:val="auto"/>
          <w:spacing w:val="8"/>
          <w:kern w:val="0"/>
          <w:sz w:val="24"/>
        </w:rPr>
        <w:t>***</w:t>
      </w:r>
      <w:r>
        <w:rPr>
          <w:rFonts w:hint="eastAsia" w:ascii="宋体" w:hAnsi="宋体" w:cs="Arial"/>
          <w:bCs/>
          <w:color w:val="auto"/>
          <w:sz w:val="24"/>
        </w:rPr>
        <w:t>元，大写：</w:t>
      </w:r>
      <w:r>
        <w:rPr>
          <w:rFonts w:hint="eastAsia" w:ascii="宋体" w:hAnsi="宋体"/>
          <w:color w:val="auto"/>
          <w:spacing w:val="8"/>
          <w:kern w:val="0"/>
          <w:sz w:val="24"/>
        </w:rPr>
        <w:t>***</w:t>
      </w:r>
      <w:r>
        <w:rPr>
          <w:rFonts w:hint="eastAsia" w:ascii="宋体" w:hAnsi="宋体" w:cs="宋体"/>
          <w:color w:val="auto"/>
          <w:kern w:val="0"/>
          <w:sz w:val="24"/>
        </w:rPr>
        <w:t>）</w:t>
      </w:r>
      <w:r>
        <w:rPr>
          <w:rFonts w:hint="eastAsia" w:ascii="宋体" w:hAnsi="宋体" w:cs="宋体"/>
          <w:color w:val="auto"/>
          <w:sz w:val="24"/>
          <w:shd w:val="clear" w:color="auto" w:fill="FFFFFF"/>
        </w:rPr>
        <w:t>。</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收款账号：***</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收款人名称：***</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收款人开户行:汉口银行洪山支行</w:t>
      </w:r>
    </w:p>
    <w:p>
      <w:pPr>
        <w:autoSpaceDE w:val="0"/>
        <w:autoSpaceDN w:val="0"/>
        <w:adjustRightInd w:val="0"/>
        <w:snapToGrid w:val="0"/>
        <w:spacing w:line="400" w:lineRule="exact"/>
        <w:ind w:firstLine="512" w:firstLineChars="200"/>
        <w:rPr>
          <w:rFonts w:ascii="宋体" w:hAnsi="宋体"/>
          <w:color w:val="auto"/>
          <w:spacing w:val="8"/>
          <w:kern w:val="0"/>
          <w:sz w:val="24"/>
        </w:rPr>
      </w:pPr>
      <w:r>
        <w:rPr>
          <w:rFonts w:hint="eastAsia" w:ascii="宋体" w:hAnsi="宋体"/>
          <w:color w:val="auto"/>
          <w:spacing w:val="8"/>
          <w:kern w:val="0"/>
          <w:sz w:val="24"/>
        </w:rPr>
        <w:t>2</w:t>
      </w:r>
      <w:r>
        <w:rPr>
          <w:rFonts w:ascii="宋体" w:hAnsi="宋体"/>
          <w:color w:val="auto"/>
          <w:spacing w:val="8"/>
          <w:kern w:val="0"/>
          <w:sz w:val="24"/>
        </w:rPr>
        <w:t xml:space="preserve">. </w:t>
      </w:r>
      <w:r>
        <w:rPr>
          <w:rFonts w:hint="eastAsia" w:ascii="宋体" w:hAnsi="宋体"/>
          <w:color w:val="auto"/>
          <w:spacing w:val="8"/>
          <w:kern w:val="0"/>
          <w:sz w:val="24"/>
        </w:rPr>
        <w:t>发票：丙方在项目验收后按照国家相关政策开具增值税专用发票给乙方后取得相应的款项。开具发票要求如下：</w:t>
      </w:r>
    </w:p>
    <w:p>
      <w:pPr>
        <w:autoSpaceDE w:val="0"/>
        <w:autoSpaceDN w:val="0"/>
        <w:adjustRightInd w:val="0"/>
        <w:snapToGrid w:val="0"/>
        <w:spacing w:line="400" w:lineRule="exact"/>
        <w:ind w:firstLine="256" w:firstLineChars="100"/>
        <w:rPr>
          <w:rFonts w:ascii="宋体" w:hAnsi="宋体"/>
          <w:color w:val="auto"/>
          <w:spacing w:val="8"/>
          <w:kern w:val="0"/>
          <w:sz w:val="24"/>
        </w:rPr>
      </w:pPr>
      <w:r>
        <w:rPr>
          <w:rFonts w:hint="eastAsia" w:ascii="宋体" w:hAnsi="宋体"/>
          <w:color w:val="auto"/>
          <w:spacing w:val="8"/>
          <w:kern w:val="0"/>
          <w:sz w:val="24"/>
        </w:rPr>
        <w:t>（1）丙方为一般纳税人，应根据国家相关要求向乙方开具相应税点的增值税专用发票；丙方须在增值税专用发票开具后</w:t>
      </w:r>
      <w:r>
        <w:rPr>
          <w:rFonts w:ascii="宋体" w:hAnsi="宋体"/>
          <w:color w:val="auto"/>
          <w:spacing w:val="8"/>
          <w:kern w:val="0"/>
          <w:sz w:val="24"/>
        </w:rPr>
        <w:t>5</w:t>
      </w:r>
      <w:r>
        <w:rPr>
          <w:rFonts w:hint="eastAsia" w:ascii="宋体" w:hAnsi="宋体"/>
          <w:color w:val="auto"/>
          <w:spacing w:val="8"/>
          <w:kern w:val="0"/>
          <w:sz w:val="24"/>
        </w:rPr>
        <w:t>个自然日（原则上不超过</w:t>
      </w:r>
      <w:r>
        <w:rPr>
          <w:rFonts w:ascii="宋体" w:hAnsi="宋体"/>
          <w:color w:val="auto"/>
          <w:spacing w:val="8"/>
          <w:kern w:val="0"/>
          <w:sz w:val="24"/>
        </w:rPr>
        <w:t>20</w:t>
      </w:r>
      <w:r>
        <w:rPr>
          <w:rFonts w:hint="eastAsia" w:ascii="宋体" w:hAnsi="宋体"/>
          <w:color w:val="auto"/>
          <w:spacing w:val="8"/>
          <w:kern w:val="0"/>
          <w:sz w:val="24"/>
        </w:rPr>
        <w:t>个自然日）内，将增值税专用发票提交至乙方。</w:t>
      </w:r>
    </w:p>
    <w:p>
      <w:pPr>
        <w:autoSpaceDE w:val="0"/>
        <w:autoSpaceDN w:val="0"/>
        <w:adjustRightInd w:val="0"/>
        <w:snapToGrid w:val="0"/>
        <w:spacing w:line="400" w:lineRule="exact"/>
        <w:ind w:firstLine="256" w:firstLineChars="100"/>
        <w:rPr>
          <w:rFonts w:ascii="宋体" w:hAnsi="宋体"/>
          <w:color w:val="auto"/>
          <w:spacing w:val="8"/>
          <w:kern w:val="0"/>
          <w:sz w:val="24"/>
        </w:rPr>
      </w:pPr>
      <w:r>
        <w:rPr>
          <w:rFonts w:hint="eastAsia" w:ascii="宋体" w:hAnsi="宋体"/>
          <w:color w:val="auto"/>
          <w:spacing w:val="8"/>
          <w:kern w:val="0"/>
          <w:sz w:val="24"/>
        </w:rPr>
        <w:t>（2）丙方开具的增值税专用发票符合以下情形之一的，乙方有权延迟支付应付款项，并要求丙方重新提供，且不承担任何违约责任，丙方各项义务仍按合同约定履行且须向乙方重新开具增值税专用发票：</w:t>
      </w:r>
    </w:p>
    <w:p>
      <w:pPr>
        <w:autoSpaceDE w:val="0"/>
        <w:autoSpaceDN w:val="0"/>
        <w:adjustRightInd w:val="0"/>
        <w:snapToGrid w:val="0"/>
        <w:spacing w:line="400" w:lineRule="exact"/>
        <w:ind w:firstLine="512" w:firstLineChars="200"/>
        <w:rPr>
          <w:rFonts w:ascii="宋体" w:hAnsi="宋体"/>
          <w:color w:val="auto"/>
          <w:spacing w:val="8"/>
          <w:kern w:val="0"/>
          <w:sz w:val="24"/>
        </w:rPr>
      </w:pPr>
      <w:r>
        <w:rPr>
          <w:rFonts w:ascii="宋体" w:hAnsi="宋体"/>
          <w:color w:val="auto"/>
          <w:spacing w:val="8"/>
          <w:kern w:val="0"/>
          <w:sz w:val="24"/>
        </w:rPr>
        <w:fldChar w:fldCharType="begin"/>
      </w:r>
      <w:r>
        <w:rPr>
          <w:rFonts w:ascii="宋体" w:hAnsi="宋体"/>
          <w:color w:val="auto"/>
          <w:spacing w:val="8"/>
          <w:kern w:val="0"/>
          <w:sz w:val="24"/>
        </w:rPr>
        <w:instrText xml:space="preserve"> </w:instrText>
      </w:r>
      <w:r>
        <w:rPr>
          <w:rFonts w:hint="eastAsia" w:ascii="宋体" w:hAnsi="宋体"/>
          <w:color w:val="auto"/>
          <w:spacing w:val="8"/>
          <w:kern w:val="0"/>
          <w:sz w:val="24"/>
        </w:rPr>
        <w:instrText xml:space="preserve">= 1 \* GB3</w:instrText>
      </w:r>
      <w:r>
        <w:rPr>
          <w:rFonts w:ascii="宋体" w:hAnsi="宋体"/>
          <w:color w:val="auto"/>
          <w:spacing w:val="8"/>
          <w:kern w:val="0"/>
          <w:sz w:val="24"/>
        </w:rPr>
        <w:instrText xml:space="preserve"> </w:instrText>
      </w:r>
      <w:r>
        <w:rPr>
          <w:rFonts w:ascii="宋体" w:hAnsi="宋体"/>
          <w:color w:val="auto"/>
          <w:spacing w:val="8"/>
          <w:kern w:val="0"/>
          <w:sz w:val="24"/>
        </w:rPr>
        <w:fldChar w:fldCharType="separate"/>
      </w:r>
      <w:r>
        <w:rPr>
          <w:rFonts w:hint="eastAsia" w:ascii="宋体" w:hAnsi="宋体"/>
          <w:color w:val="auto"/>
          <w:spacing w:val="8"/>
          <w:kern w:val="0"/>
          <w:sz w:val="24"/>
        </w:rPr>
        <w:t>①</w:t>
      </w:r>
      <w:r>
        <w:rPr>
          <w:rFonts w:ascii="宋体" w:hAnsi="宋体"/>
          <w:color w:val="auto"/>
          <w:spacing w:val="8"/>
          <w:kern w:val="0"/>
          <w:sz w:val="24"/>
        </w:rPr>
        <w:fldChar w:fldCharType="end"/>
      </w:r>
      <w:r>
        <w:rPr>
          <w:rFonts w:hint="eastAsia" w:ascii="宋体" w:hAnsi="宋体"/>
          <w:color w:val="auto"/>
          <w:spacing w:val="8"/>
          <w:kern w:val="0"/>
          <w:sz w:val="24"/>
        </w:rPr>
        <w:t>开具虚假、作废、无效发票或因违反国家法律法规开具、提供发票的；</w:t>
      </w:r>
    </w:p>
    <w:p>
      <w:pPr>
        <w:autoSpaceDE w:val="0"/>
        <w:autoSpaceDN w:val="0"/>
        <w:adjustRightInd w:val="0"/>
        <w:snapToGrid w:val="0"/>
        <w:spacing w:line="400" w:lineRule="exact"/>
        <w:ind w:firstLine="512" w:firstLineChars="200"/>
        <w:rPr>
          <w:rFonts w:ascii="宋体" w:hAnsi="宋体"/>
          <w:color w:val="auto"/>
          <w:spacing w:val="8"/>
          <w:kern w:val="0"/>
          <w:sz w:val="24"/>
        </w:rPr>
      </w:pPr>
      <w:r>
        <w:rPr>
          <w:rFonts w:ascii="宋体" w:hAnsi="宋体"/>
          <w:color w:val="auto"/>
          <w:spacing w:val="8"/>
          <w:kern w:val="0"/>
          <w:sz w:val="24"/>
        </w:rPr>
        <w:fldChar w:fldCharType="begin"/>
      </w:r>
      <w:r>
        <w:rPr>
          <w:rFonts w:ascii="宋体" w:hAnsi="宋体"/>
          <w:color w:val="auto"/>
          <w:spacing w:val="8"/>
          <w:kern w:val="0"/>
          <w:sz w:val="24"/>
        </w:rPr>
        <w:instrText xml:space="preserve"> </w:instrText>
      </w:r>
      <w:r>
        <w:rPr>
          <w:rFonts w:hint="eastAsia" w:ascii="宋体" w:hAnsi="宋体"/>
          <w:color w:val="auto"/>
          <w:spacing w:val="8"/>
          <w:kern w:val="0"/>
          <w:sz w:val="24"/>
        </w:rPr>
        <w:instrText xml:space="preserve">= 2 \* GB3</w:instrText>
      </w:r>
      <w:r>
        <w:rPr>
          <w:rFonts w:ascii="宋体" w:hAnsi="宋体"/>
          <w:color w:val="auto"/>
          <w:spacing w:val="8"/>
          <w:kern w:val="0"/>
          <w:sz w:val="24"/>
        </w:rPr>
        <w:instrText xml:space="preserve"> </w:instrText>
      </w:r>
      <w:r>
        <w:rPr>
          <w:rFonts w:ascii="宋体" w:hAnsi="宋体"/>
          <w:color w:val="auto"/>
          <w:spacing w:val="8"/>
          <w:kern w:val="0"/>
          <w:sz w:val="24"/>
        </w:rPr>
        <w:fldChar w:fldCharType="separate"/>
      </w:r>
      <w:r>
        <w:rPr>
          <w:rFonts w:hint="eastAsia" w:ascii="宋体" w:hAnsi="宋体"/>
          <w:color w:val="auto"/>
          <w:spacing w:val="8"/>
          <w:kern w:val="0"/>
          <w:sz w:val="24"/>
        </w:rPr>
        <w:t>②</w:t>
      </w:r>
      <w:r>
        <w:rPr>
          <w:rFonts w:ascii="宋体" w:hAnsi="宋体"/>
          <w:color w:val="auto"/>
          <w:spacing w:val="8"/>
          <w:kern w:val="0"/>
          <w:sz w:val="24"/>
        </w:rPr>
        <w:fldChar w:fldCharType="end"/>
      </w:r>
      <w:r>
        <w:rPr>
          <w:rFonts w:hint="eastAsia" w:ascii="宋体" w:hAnsi="宋体"/>
          <w:color w:val="auto"/>
          <w:spacing w:val="8"/>
          <w:kern w:val="0"/>
          <w:sz w:val="24"/>
        </w:rPr>
        <w:t>开具发票种类错误或开具发票税率与合同约定不符的；</w:t>
      </w:r>
    </w:p>
    <w:p>
      <w:pPr>
        <w:autoSpaceDE w:val="0"/>
        <w:autoSpaceDN w:val="0"/>
        <w:adjustRightInd w:val="0"/>
        <w:snapToGrid w:val="0"/>
        <w:spacing w:line="400" w:lineRule="exact"/>
        <w:ind w:firstLine="512" w:firstLineChars="200"/>
        <w:rPr>
          <w:rFonts w:ascii="宋体" w:hAnsi="宋体"/>
          <w:color w:val="auto"/>
          <w:spacing w:val="8"/>
          <w:kern w:val="0"/>
          <w:sz w:val="24"/>
        </w:rPr>
      </w:pPr>
      <w:r>
        <w:rPr>
          <w:rFonts w:ascii="宋体" w:hAnsi="宋体"/>
          <w:color w:val="auto"/>
          <w:spacing w:val="8"/>
          <w:kern w:val="0"/>
          <w:sz w:val="24"/>
        </w:rPr>
        <w:fldChar w:fldCharType="begin"/>
      </w:r>
      <w:r>
        <w:rPr>
          <w:rFonts w:ascii="宋体" w:hAnsi="宋体"/>
          <w:color w:val="auto"/>
          <w:spacing w:val="8"/>
          <w:kern w:val="0"/>
          <w:sz w:val="24"/>
        </w:rPr>
        <w:instrText xml:space="preserve"> </w:instrText>
      </w:r>
      <w:r>
        <w:rPr>
          <w:rFonts w:hint="eastAsia" w:ascii="宋体" w:hAnsi="宋体"/>
          <w:color w:val="auto"/>
          <w:spacing w:val="8"/>
          <w:kern w:val="0"/>
          <w:sz w:val="24"/>
        </w:rPr>
        <w:instrText xml:space="preserve">= 3 \* GB3</w:instrText>
      </w:r>
      <w:r>
        <w:rPr>
          <w:rFonts w:ascii="宋体" w:hAnsi="宋体"/>
          <w:color w:val="auto"/>
          <w:spacing w:val="8"/>
          <w:kern w:val="0"/>
          <w:sz w:val="24"/>
        </w:rPr>
        <w:instrText xml:space="preserve"> </w:instrText>
      </w:r>
      <w:r>
        <w:rPr>
          <w:rFonts w:ascii="宋体" w:hAnsi="宋体"/>
          <w:color w:val="auto"/>
          <w:spacing w:val="8"/>
          <w:kern w:val="0"/>
          <w:sz w:val="24"/>
        </w:rPr>
        <w:fldChar w:fldCharType="separate"/>
      </w:r>
      <w:r>
        <w:rPr>
          <w:rFonts w:hint="eastAsia" w:ascii="宋体" w:hAnsi="宋体"/>
          <w:color w:val="auto"/>
          <w:spacing w:val="8"/>
          <w:kern w:val="0"/>
          <w:sz w:val="24"/>
        </w:rPr>
        <w:t>③</w:t>
      </w:r>
      <w:r>
        <w:rPr>
          <w:rFonts w:ascii="宋体" w:hAnsi="宋体"/>
          <w:color w:val="auto"/>
          <w:spacing w:val="8"/>
          <w:kern w:val="0"/>
          <w:sz w:val="24"/>
        </w:rPr>
        <w:fldChar w:fldCharType="end"/>
      </w:r>
      <w:r>
        <w:rPr>
          <w:rFonts w:hint="eastAsia" w:ascii="宋体" w:hAnsi="宋体"/>
          <w:color w:val="auto"/>
          <w:spacing w:val="8"/>
          <w:kern w:val="0"/>
          <w:sz w:val="24"/>
        </w:rPr>
        <w:t>发票信息错误的；</w:t>
      </w:r>
    </w:p>
    <w:p>
      <w:pPr>
        <w:autoSpaceDE w:val="0"/>
        <w:autoSpaceDN w:val="0"/>
        <w:adjustRightInd w:val="0"/>
        <w:snapToGrid w:val="0"/>
        <w:spacing w:line="400" w:lineRule="exact"/>
        <w:ind w:firstLine="512" w:firstLineChars="200"/>
        <w:rPr>
          <w:rFonts w:ascii="宋体" w:hAnsi="宋体"/>
          <w:color w:val="auto"/>
          <w:spacing w:val="8"/>
          <w:kern w:val="0"/>
          <w:sz w:val="24"/>
        </w:rPr>
      </w:pPr>
      <w:r>
        <w:rPr>
          <w:rFonts w:ascii="宋体" w:hAnsi="宋体"/>
          <w:color w:val="auto"/>
          <w:spacing w:val="8"/>
          <w:kern w:val="0"/>
          <w:sz w:val="24"/>
        </w:rPr>
        <w:fldChar w:fldCharType="begin"/>
      </w:r>
      <w:r>
        <w:rPr>
          <w:rFonts w:ascii="宋体" w:hAnsi="宋体"/>
          <w:color w:val="auto"/>
          <w:spacing w:val="8"/>
          <w:kern w:val="0"/>
          <w:sz w:val="24"/>
        </w:rPr>
        <w:instrText xml:space="preserve"> </w:instrText>
      </w:r>
      <w:r>
        <w:rPr>
          <w:rFonts w:hint="eastAsia" w:ascii="宋体" w:hAnsi="宋体"/>
          <w:color w:val="auto"/>
          <w:spacing w:val="8"/>
          <w:kern w:val="0"/>
          <w:sz w:val="24"/>
        </w:rPr>
        <w:instrText xml:space="preserve">= 4 \* GB3</w:instrText>
      </w:r>
      <w:r>
        <w:rPr>
          <w:rFonts w:ascii="宋体" w:hAnsi="宋体"/>
          <w:color w:val="auto"/>
          <w:spacing w:val="8"/>
          <w:kern w:val="0"/>
          <w:sz w:val="24"/>
        </w:rPr>
        <w:instrText xml:space="preserve"> </w:instrText>
      </w:r>
      <w:r>
        <w:rPr>
          <w:rFonts w:ascii="宋体" w:hAnsi="宋体"/>
          <w:color w:val="auto"/>
          <w:spacing w:val="8"/>
          <w:kern w:val="0"/>
          <w:sz w:val="24"/>
        </w:rPr>
        <w:fldChar w:fldCharType="separate"/>
      </w:r>
      <w:r>
        <w:rPr>
          <w:rFonts w:hint="eastAsia" w:ascii="宋体" w:hAnsi="宋体"/>
          <w:color w:val="auto"/>
          <w:spacing w:val="8"/>
          <w:kern w:val="0"/>
          <w:sz w:val="24"/>
        </w:rPr>
        <w:t>④</w:t>
      </w:r>
      <w:r>
        <w:rPr>
          <w:rFonts w:ascii="宋体" w:hAnsi="宋体"/>
          <w:color w:val="auto"/>
          <w:spacing w:val="8"/>
          <w:kern w:val="0"/>
          <w:sz w:val="24"/>
        </w:rPr>
        <w:fldChar w:fldCharType="end"/>
      </w:r>
      <w:r>
        <w:rPr>
          <w:rFonts w:hint="eastAsia" w:ascii="宋体" w:hAnsi="宋体"/>
          <w:color w:val="auto"/>
          <w:spacing w:val="8"/>
          <w:kern w:val="0"/>
          <w:sz w:val="24"/>
        </w:rPr>
        <w:t>因丙方延迟送达、开具错误等原因造成发票认证失败的其他情况；</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ascii="宋体" w:hAnsi="宋体"/>
          <w:color w:val="auto"/>
          <w:spacing w:val="8"/>
          <w:kern w:val="0"/>
          <w:sz w:val="24"/>
        </w:rPr>
        <w:fldChar w:fldCharType="begin"/>
      </w:r>
      <w:r>
        <w:rPr>
          <w:rFonts w:ascii="宋体" w:hAnsi="宋体"/>
          <w:color w:val="auto"/>
          <w:spacing w:val="8"/>
          <w:kern w:val="0"/>
          <w:sz w:val="24"/>
        </w:rPr>
        <w:instrText xml:space="preserve"> </w:instrText>
      </w:r>
      <w:r>
        <w:rPr>
          <w:rFonts w:hint="eastAsia" w:ascii="宋体" w:hAnsi="宋体"/>
          <w:color w:val="auto"/>
          <w:spacing w:val="8"/>
          <w:kern w:val="0"/>
          <w:sz w:val="24"/>
        </w:rPr>
        <w:instrText xml:space="preserve">= 5 \* GB3</w:instrText>
      </w:r>
      <w:r>
        <w:rPr>
          <w:rFonts w:ascii="宋体" w:hAnsi="宋体"/>
          <w:color w:val="auto"/>
          <w:spacing w:val="8"/>
          <w:kern w:val="0"/>
          <w:sz w:val="24"/>
        </w:rPr>
        <w:instrText xml:space="preserve"> </w:instrText>
      </w:r>
      <w:r>
        <w:rPr>
          <w:rFonts w:ascii="宋体" w:hAnsi="宋体"/>
          <w:color w:val="auto"/>
          <w:spacing w:val="8"/>
          <w:kern w:val="0"/>
          <w:sz w:val="24"/>
        </w:rPr>
        <w:fldChar w:fldCharType="separate"/>
      </w:r>
      <w:r>
        <w:rPr>
          <w:rFonts w:hint="eastAsia" w:ascii="宋体" w:hAnsi="宋体"/>
          <w:color w:val="auto"/>
          <w:spacing w:val="8"/>
          <w:kern w:val="0"/>
          <w:sz w:val="24"/>
        </w:rPr>
        <w:t>⑤</w:t>
      </w:r>
      <w:r>
        <w:rPr>
          <w:rFonts w:ascii="宋体" w:hAnsi="宋体"/>
          <w:color w:val="auto"/>
          <w:spacing w:val="8"/>
          <w:kern w:val="0"/>
          <w:sz w:val="24"/>
        </w:rPr>
        <w:fldChar w:fldCharType="end"/>
      </w:r>
      <w:r>
        <w:rPr>
          <w:rFonts w:hint="eastAsia" w:ascii="宋体" w:hAnsi="宋体"/>
          <w:color w:val="auto"/>
          <w:spacing w:val="8"/>
          <w:kern w:val="0"/>
          <w:sz w:val="24"/>
        </w:rPr>
        <w:t>如丙方拒绝重新提供或提供的发票仍不符合法律法规和监管规定的要求，乙方有权解除本合同，并要求丙方承担由此对甲方和乙方造成的全部损失。</w:t>
      </w:r>
    </w:p>
    <w:p>
      <w:pPr>
        <w:autoSpaceDE w:val="0"/>
        <w:autoSpaceDN w:val="0"/>
        <w:adjustRightInd w:val="0"/>
        <w:snapToGrid w:val="0"/>
        <w:spacing w:line="360" w:lineRule="auto"/>
        <w:ind w:firstLine="512" w:firstLineChars="200"/>
        <w:rPr>
          <w:rFonts w:ascii="宋体"/>
          <w:color w:val="auto"/>
          <w:sz w:val="24"/>
        </w:rPr>
      </w:pPr>
      <w:r>
        <w:rPr>
          <w:rFonts w:hint="eastAsia" w:ascii="宋体" w:hAnsi="宋体"/>
          <w:color w:val="auto"/>
          <w:spacing w:val="8"/>
          <w:kern w:val="0"/>
          <w:sz w:val="24"/>
        </w:rPr>
        <w:t>十、履约保证金</w:t>
      </w:r>
      <w:r>
        <w:rPr>
          <w:rFonts w:hint="eastAsia" w:cs="宋体"/>
          <w:color w:val="auto"/>
          <w:sz w:val="24"/>
          <w:u w:val="single"/>
        </w:rPr>
        <w:t>（采用第二种方式）</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（第一种方式）无履约保证金。</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（第二种方式：有履约保证金）合同签订前，丙方向甲方支付合同总价款的</w:t>
      </w:r>
      <w:r>
        <w:rPr>
          <w:rFonts w:ascii="宋体" w:hAnsi="宋体"/>
          <w:color w:val="auto"/>
          <w:spacing w:val="8"/>
          <w:kern w:val="0"/>
          <w:sz w:val="24"/>
        </w:rPr>
        <w:t>5%</w:t>
      </w:r>
      <w:r>
        <w:rPr>
          <w:rFonts w:hint="eastAsia" w:ascii="宋体" w:hAnsi="宋体"/>
          <w:color w:val="auto"/>
          <w:spacing w:val="8"/>
          <w:kern w:val="0"/>
          <w:sz w:val="24"/>
        </w:rPr>
        <w:t>，共计人民币大写：XXX元整（￥XXX</w:t>
      </w:r>
      <w:r>
        <w:rPr>
          <w:rFonts w:ascii="宋体" w:hAnsi="宋体"/>
          <w:color w:val="auto"/>
          <w:spacing w:val="8"/>
          <w:kern w:val="0"/>
          <w:sz w:val="24"/>
        </w:rPr>
        <w:t>.00</w:t>
      </w:r>
      <w:r>
        <w:rPr>
          <w:rFonts w:hint="eastAsia" w:ascii="宋体" w:hAnsi="宋体"/>
          <w:color w:val="auto"/>
          <w:spacing w:val="8"/>
          <w:kern w:val="0"/>
          <w:sz w:val="24"/>
        </w:rPr>
        <w:t>）作为履约保证金，自验收合格之日起自动转为质量保证金。货物验收合格后安全运行一年（自验收合格之日起计算），如无质量及售后服务等其他违约事项，甲方向丙方无息退还质量保证金。</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甲方单位名称：华中农业大学</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纳税人识别号（统一社会信用代码）：121000004200048172</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地址、电话：湖北省武汉市洪山区狮子山街1号 027-87282022</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开户行及账号：汉口银行华中农业大学支行 0160 2012 0120 0000 16</w:t>
      </w:r>
    </w:p>
    <w:p>
      <w:pPr>
        <w:autoSpaceDE w:val="0"/>
        <w:autoSpaceDN w:val="0"/>
        <w:adjustRightInd w:val="0"/>
        <w:snapToGrid w:val="0"/>
        <w:spacing w:line="360" w:lineRule="auto"/>
        <w:ind w:firstLine="482" w:firstLineChars="200"/>
        <w:rPr>
          <w:rFonts w:ascii="宋体" w:hAnsi="宋体" w:cs="Arial"/>
          <w:b/>
          <w:bCs/>
          <w:color w:val="auto"/>
          <w:sz w:val="24"/>
        </w:rPr>
      </w:pPr>
      <w:r>
        <w:rPr>
          <w:rFonts w:hint="eastAsia" w:ascii="宋体" w:hAnsi="宋体" w:cs="Arial"/>
          <w:b/>
          <w:bCs/>
          <w:color w:val="auto"/>
          <w:sz w:val="24"/>
        </w:rPr>
        <w:t>十一、违约责任</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1. 如果丙方未按时交货，未按时完成安装任务的，迟延七日以上，丙方须向乙方支付当批货款总额10‰的违约金，由此给甲方造成的损失由丙方承担。</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2. 若丙方提供货物不符合本合同约定，乙方有权拒收货物并要求丙方按本合同第四条第三款的约定更换、补齐，丙方负担由此发生的一切费用和损失；若丙方无法按时更换、补齐或更换后的货物仍不符合合同要求的，乙方有权解除合同，并要求丙方按本合同价款总额的5%赔偿损失。</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3. 如果由于原厂商货物质量、维护不及时等原因引起停业故障超过24小时的，视为服务未达标一次，丙方应按照引起故障设备金额的50%的比例支付项目未达标赔偿金或提供等值服务赔偿。采取何种赔偿方式，甲方有权自行选择，无需征得丙方同意</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4. 质保期内，丙方未按合同的约定提供服务或丙方不能在承诺时间内修复故障，由此造成的费用和损失由丙方承担。</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5. 因丙方工程师技术问题造成事故，导致设备遭受损失，甲乙双方有权要求丙方赔偿相应损失。</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6. 丙方违约造成甲乙双方的费用的增加和损失，甲方有权通知乙方从剩余合同款项中直接扣除。如待支付的合同剩余款项不足以弥补甲乙双方上述费用和损失，丙方应向甲乙双方支付不足部分款项。</w:t>
      </w:r>
    </w:p>
    <w:p>
      <w:pPr>
        <w:spacing w:line="360" w:lineRule="auto"/>
        <w:ind w:firstLine="480" w:firstLineChars="200"/>
        <w:rPr>
          <w:rFonts w:ascii="宋体" w:hAnsi="宋体"/>
          <w:color w:val="auto"/>
          <w:sz w:val="24"/>
        </w:rPr>
      </w:pPr>
      <w:r>
        <w:rPr>
          <w:rFonts w:hint="eastAsia" w:ascii="宋体" w:hAnsi="宋体"/>
          <w:color w:val="auto"/>
          <w:sz w:val="24"/>
        </w:rPr>
        <w:t>7. 因甲方或甲方指定用户自身原因或业务发展需求变化，甲方有权更改实际采购数量。乙方按实际甲方收到的数量并按本合同签订的金额和约定的付款方式办理货物结算。</w:t>
      </w:r>
    </w:p>
    <w:p>
      <w:pPr>
        <w:spacing w:line="360" w:lineRule="auto"/>
        <w:ind w:firstLine="480" w:firstLineChars="200"/>
        <w:rPr>
          <w:rFonts w:ascii="宋体" w:hAnsi="宋体"/>
          <w:color w:val="auto"/>
          <w:sz w:val="24"/>
        </w:rPr>
      </w:pPr>
      <w:r>
        <w:rPr>
          <w:rFonts w:hint="eastAsia" w:ascii="宋体" w:hAnsi="宋体"/>
          <w:color w:val="auto"/>
          <w:sz w:val="24"/>
        </w:rPr>
        <w:t>8. 如本合同任一方单方面中途废止本合同，则视为违约，违约方应另外两方各支付合同总额20%的违约金，如违约金不足以弥补实际损失，违约方需按实际损失赔偿。</w:t>
      </w:r>
    </w:p>
    <w:p>
      <w:pPr>
        <w:autoSpaceDE w:val="0"/>
        <w:autoSpaceDN w:val="0"/>
        <w:adjustRightInd w:val="0"/>
        <w:snapToGrid w:val="0"/>
        <w:spacing w:line="360" w:lineRule="auto"/>
        <w:ind w:firstLine="482" w:firstLineChars="200"/>
        <w:rPr>
          <w:rFonts w:ascii="宋体" w:hAnsi="宋体" w:cs="Arial"/>
          <w:b/>
          <w:bCs/>
          <w:color w:val="auto"/>
          <w:sz w:val="24"/>
        </w:rPr>
      </w:pPr>
      <w:r>
        <w:rPr>
          <w:rFonts w:hint="eastAsia" w:ascii="宋体" w:hAnsi="宋体" w:cs="Arial"/>
          <w:b/>
          <w:bCs/>
          <w:color w:val="auto"/>
          <w:sz w:val="24"/>
        </w:rPr>
        <w:t>十二、知识产权与保密</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1. 丙方</w:t>
      </w:r>
      <w:r>
        <w:rPr>
          <w:rFonts w:ascii="宋体" w:hAnsi="宋体"/>
          <w:color w:val="auto"/>
          <w:spacing w:val="8"/>
          <w:kern w:val="0"/>
          <w:sz w:val="24"/>
        </w:rPr>
        <w:t>保证，其根据本</w:t>
      </w:r>
      <w:r>
        <w:rPr>
          <w:rFonts w:hint="eastAsia" w:ascii="宋体" w:hAnsi="宋体"/>
          <w:color w:val="auto"/>
          <w:spacing w:val="8"/>
          <w:kern w:val="0"/>
          <w:sz w:val="24"/>
        </w:rPr>
        <w:t>合同</w:t>
      </w:r>
      <w:r>
        <w:rPr>
          <w:rFonts w:ascii="宋体" w:hAnsi="宋体"/>
          <w:color w:val="auto"/>
          <w:spacing w:val="8"/>
          <w:kern w:val="0"/>
          <w:sz w:val="24"/>
        </w:rPr>
        <w:t>提供的</w:t>
      </w:r>
      <w:r>
        <w:rPr>
          <w:rFonts w:hint="eastAsia" w:ascii="宋体" w:hAnsi="宋体"/>
          <w:color w:val="auto"/>
          <w:spacing w:val="8"/>
          <w:kern w:val="0"/>
          <w:sz w:val="24"/>
        </w:rPr>
        <w:t>产品</w:t>
      </w:r>
      <w:r>
        <w:rPr>
          <w:rFonts w:ascii="宋体" w:hAnsi="宋体"/>
          <w:color w:val="auto"/>
          <w:spacing w:val="8"/>
          <w:kern w:val="0"/>
          <w:sz w:val="24"/>
        </w:rPr>
        <w:t>及服务没有任何权利</w:t>
      </w:r>
      <w:r>
        <w:rPr>
          <w:rFonts w:hint="eastAsia" w:ascii="宋体" w:hAnsi="宋体"/>
          <w:color w:val="auto"/>
          <w:spacing w:val="8"/>
          <w:kern w:val="0"/>
          <w:sz w:val="24"/>
        </w:rPr>
        <w:t>瑕疵</w:t>
      </w:r>
      <w:r>
        <w:rPr>
          <w:rFonts w:ascii="宋体" w:hAnsi="宋体"/>
          <w:color w:val="auto"/>
          <w:spacing w:val="8"/>
          <w:kern w:val="0"/>
          <w:sz w:val="24"/>
        </w:rPr>
        <w:t>，没有侵犯任何第三方权利，</w:t>
      </w:r>
      <w:r>
        <w:rPr>
          <w:rFonts w:hint="eastAsia" w:ascii="宋体" w:hAnsi="宋体"/>
          <w:color w:val="auto"/>
          <w:spacing w:val="8"/>
          <w:kern w:val="0"/>
          <w:sz w:val="24"/>
        </w:rPr>
        <w:t>甲方及甲方指定用户</w:t>
      </w:r>
      <w:r>
        <w:rPr>
          <w:rFonts w:ascii="宋体" w:hAnsi="宋体"/>
          <w:color w:val="auto"/>
          <w:spacing w:val="8"/>
          <w:kern w:val="0"/>
          <w:sz w:val="24"/>
        </w:rPr>
        <w:t>在使用该</w:t>
      </w:r>
      <w:r>
        <w:rPr>
          <w:rFonts w:hint="eastAsia" w:ascii="宋体" w:hAnsi="宋体"/>
          <w:color w:val="auto"/>
          <w:spacing w:val="8"/>
          <w:kern w:val="0"/>
          <w:sz w:val="24"/>
        </w:rPr>
        <w:t>产品</w:t>
      </w:r>
      <w:r>
        <w:rPr>
          <w:rFonts w:ascii="宋体" w:hAnsi="宋体"/>
          <w:color w:val="auto"/>
          <w:spacing w:val="8"/>
          <w:kern w:val="0"/>
          <w:sz w:val="24"/>
        </w:rPr>
        <w:t>或</w:t>
      </w:r>
      <w:r>
        <w:rPr>
          <w:rFonts w:hint="eastAsia" w:ascii="宋体" w:hAnsi="宋体"/>
          <w:color w:val="auto"/>
          <w:spacing w:val="8"/>
          <w:kern w:val="0"/>
          <w:sz w:val="24"/>
        </w:rPr>
        <w:t>服务</w:t>
      </w:r>
      <w:r>
        <w:rPr>
          <w:rFonts w:ascii="宋体" w:hAnsi="宋体"/>
          <w:color w:val="auto"/>
          <w:spacing w:val="8"/>
          <w:kern w:val="0"/>
          <w:sz w:val="24"/>
        </w:rPr>
        <w:t>的任何一部分时，免受第三方提出的侵犯其</w:t>
      </w:r>
      <w:r>
        <w:rPr>
          <w:rFonts w:hint="eastAsia" w:ascii="宋体" w:hAnsi="宋体"/>
          <w:color w:val="auto"/>
          <w:spacing w:val="8"/>
          <w:kern w:val="0"/>
          <w:sz w:val="24"/>
        </w:rPr>
        <w:t>知识产权</w:t>
      </w:r>
      <w:r>
        <w:rPr>
          <w:rFonts w:ascii="宋体" w:hAnsi="宋体"/>
          <w:color w:val="auto"/>
          <w:spacing w:val="8"/>
          <w:kern w:val="0"/>
          <w:sz w:val="24"/>
        </w:rPr>
        <w:t>的起诉</w:t>
      </w:r>
      <w:r>
        <w:rPr>
          <w:rFonts w:hint="eastAsia" w:ascii="宋体" w:hAnsi="宋体"/>
          <w:color w:val="auto"/>
          <w:spacing w:val="8"/>
          <w:kern w:val="0"/>
          <w:sz w:val="24"/>
        </w:rPr>
        <w:t>。如果任何人对甲方或甲方指定的用户使用该产品主张权利，由丙方负责处理一切纠纷及相关事宜，消除影响。由此给甲方或甲方指定用户造成的损失，由丙方承担，其承担范围包括但不限于：赔偿费、诉讼费和与诉讼相关的费用。</w:t>
      </w:r>
    </w:p>
    <w:p>
      <w:pPr>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2. 丙方同意，甲方在处理包括使用上述软件开发服务产品时，拥有丙方产品的永久使用权，使用用户数和使用时间不受丙方限制。丙方任何情况下不得撤走设备。</w:t>
      </w:r>
    </w:p>
    <w:p>
      <w:pPr>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3. 丙方应对在开发中涉及的甲方业务及本项目最终用户和技术资料采取保密措施，并保证丙方及丙方接触上述资料的服务人员承诺未得甲方事先书面许可不将之泄露给第三方及与本项目无关的丙方人员。</w:t>
      </w:r>
    </w:p>
    <w:p>
      <w:pPr>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4. 甲方应尊重从丙方购置的相关软件的注册版权，遵守国家《计算机软件保护条例》有关规定，不得以任何形式再次转让、租赁该软件，并不得以任何形式或手段解密该软件。</w:t>
      </w:r>
    </w:p>
    <w:p>
      <w:pPr>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5. 双方同意保守在缔结和履行合同过程中获知的对方内部保密信息，除一方履行合同义务的必要或有法律、法规规定应披露的之外，不得以任何方式向他人披露和不正当使用，否则，应当赔偿因泄露保密信息给对方造成的损失。</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6. 双方所承担的保密义务不因本合同履行完毕、终止或解除而免除。</w:t>
      </w:r>
    </w:p>
    <w:p>
      <w:pPr>
        <w:autoSpaceDE w:val="0"/>
        <w:autoSpaceDN w:val="0"/>
        <w:adjustRightInd w:val="0"/>
        <w:snapToGrid w:val="0"/>
        <w:spacing w:line="360" w:lineRule="auto"/>
        <w:ind w:firstLine="482" w:firstLineChars="200"/>
        <w:rPr>
          <w:rFonts w:ascii="宋体" w:hAnsi="宋体" w:cs="Arial"/>
          <w:b/>
          <w:bCs/>
          <w:color w:val="auto"/>
          <w:sz w:val="24"/>
        </w:rPr>
      </w:pPr>
      <w:r>
        <w:rPr>
          <w:rFonts w:hint="eastAsia" w:ascii="宋体" w:hAnsi="宋体" w:cs="Arial"/>
          <w:b/>
          <w:bCs/>
          <w:color w:val="auto"/>
          <w:sz w:val="24"/>
        </w:rPr>
        <w:t>十三、不可抗力</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1. 由于发生不能预见、不能避免并不能克服的不可抗力情形，致使直接影响本合同的履行或不能按照本合同项下之约定履行时，遇有不可抗力的一方应当立即书面通知对方，并在发生不可抗力之日起</w:t>
      </w:r>
      <w:r>
        <w:rPr>
          <w:rFonts w:ascii="宋体" w:hAnsi="宋体"/>
          <w:color w:val="auto"/>
          <w:spacing w:val="8"/>
          <w:kern w:val="0"/>
          <w:sz w:val="24"/>
        </w:rPr>
        <w:t>30</w:t>
      </w:r>
      <w:r>
        <w:rPr>
          <w:rFonts w:hint="eastAsia" w:ascii="宋体" w:hAnsi="宋体"/>
          <w:color w:val="auto"/>
          <w:spacing w:val="8"/>
          <w:kern w:val="0"/>
          <w:sz w:val="24"/>
        </w:rPr>
        <w:t>日内，提供不可抗力详情及合同不能履行或部分不能履行，或需要延期履行理由的有效书面证明，该项证明文件应当由不可抗力发生地的公证机关出具。</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2. 根据不可抗力对本合同的影响程度，三方应当协商是否解除本合同或部分、全部免除履行本合同的责任，或延期履行本合同。</w:t>
      </w:r>
    </w:p>
    <w:p>
      <w:pPr>
        <w:autoSpaceDE w:val="0"/>
        <w:autoSpaceDN w:val="0"/>
        <w:adjustRightInd w:val="0"/>
        <w:snapToGrid w:val="0"/>
        <w:spacing w:line="360" w:lineRule="auto"/>
        <w:ind w:firstLine="482" w:firstLineChars="200"/>
        <w:rPr>
          <w:rFonts w:ascii="宋体" w:hAnsi="宋体" w:cs="Arial"/>
          <w:b/>
          <w:bCs/>
          <w:color w:val="auto"/>
          <w:sz w:val="24"/>
        </w:rPr>
      </w:pPr>
      <w:r>
        <w:rPr>
          <w:rFonts w:hint="eastAsia" w:ascii="宋体" w:hAnsi="宋体" w:cs="Arial"/>
          <w:b/>
          <w:bCs/>
          <w:color w:val="auto"/>
          <w:sz w:val="24"/>
        </w:rPr>
        <w:t>十四、争议的解决</w:t>
      </w:r>
    </w:p>
    <w:p>
      <w:pPr>
        <w:tabs>
          <w:tab w:val="left" w:pos="588"/>
        </w:tabs>
        <w:autoSpaceDE w:val="0"/>
        <w:autoSpaceDN w:val="0"/>
        <w:adjustRightInd w:val="0"/>
        <w:spacing w:line="360" w:lineRule="auto"/>
        <w:ind w:firstLine="491" w:firstLineChars="192"/>
        <w:rPr>
          <w:rFonts w:ascii="宋体" w:hAnsi="宋体"/>
          <w:color w:val="auto"/>
          <w:spacing w:val="8"/>
          <w:kern w:val="0"/>
          <w:sz w:val="24"/>
        </w:rPr>
      </w:pPr>
      <w:r>
        <w:rPr>
          <w:rFonts w:hint="eastAsia" w:ascii="宋体" w:hAnsi="宋体"/>
          <w:color w:val="auto"/>
          <w:spacing w:val="8"/>
          <w:kern w:val="0"/>
          <w:sz w:val="24"/>
        </w:rPr>
        <w:t>1. 因本合同引起与本合同有关的一切争端应首先通过三方友好协商解决。如果协商不能解决，任何一方均可将争议提交乙方所在地人民法院诉讼。</w:t>
      </w:r>
    </w:p>
    <w:p>
      <w:pPr>
        <w:tabs>
          <w:tab w:val="left" w:pos="588"/>
        </w:tabs>
        <w:autoSpaceDE w:val="0"/>
        <w:autoSpaceDN w:val="0"/>
        <w:adjustRightInd w:val="0"/>
        <w:spacing w:line="360" w:lineRule="auto"/>
        <w:ind w:firstLine="491" w:firstLineChars="192"/>
        <w:rPr>
          <w:rFonts w:ascii="宋体" w:hAnsi="宋体"/>
          <w:color w:val="auto"/>
          <w:spacing w:val="8"/>
          <w:kern w:val="0"/>
          <w:sz w:val="24"/>
        </w:rPr>
      </w:pPr>
      <w:r>
        <w:rPr>
          <w:rFonts w:hint="eastAsia" w:ascii="宋体" w:hAnsi="宋体"/>
          <w:color w:val="auto"/>
          <w:spacing w:val="8"/>
          <w:kern w:val="0"/>
          <w:sz w:val="24"/>
        </w:rPr>
        <w:t>2. 诉讼期间，除正在进行诉讼的部分外，本合同其它部分应继续履行。</w:t>
      </w:r>
    </w:p>
    <w:p>
      <w:pPr>
        <w:autoSpaceDE w:val="0"/>
        <w:autoSpaceDN w:val="0"/>
        <w:adjustRightInd w:val="0"/>
        <w:snapToGrid w:val="0"/>
        <w:spacing w:line="360" w:lineRule="auto"/>
        <w:ind w:firstLine="482" w:firstLineChars="200"/>
        <w:rPr>
          <w:rFonts w:ascii="宋体" w:hAnsi="宋体" w:cs="Arial"/>
          <w:b/>
          <w:bCs/>
          <w:color w:val="auto"/>
          <w:sz w:val="24"/>
        </w:rPr>
      </w:pPr>
      <w:r>
        <w:rPr>
          <w:rFonts w:hint="eastAsia" w:ascii="宋体" w:hAnsi="宋体" w:cs="Arial"/>
          <w:b/>
          <w:bCs/>
          <w:color w:val="auto"/>
          <w:sz w:val="24"/>
        </w:rPr>
        <w:t>十五、合同生效及其它</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1. 本合同经甲、乙、丙三方签字、盖章后生效，合同执行期间，甲、乙、丙三方均不得随意变更或解除合同。</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2. 本合同一式玖份，甲方执伍份，乙丙双方各执贰份。</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3. 合同有效期内，丙方如发生资产重组、并购等债权债务转移情形时，应于变更工商登记之日起七日内通知甲乙两方。</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4.上述项目所涉及的软件系统、硬件设备及相关资产所有权在10年内归乙方所有，甲方拥有独立的使用权和业务管理权。10年后，上述项目(包括但不限于建设形成的各类硬件设施设备、软件系统及相关配套资产等)所有权的归属经甲乙双方友好协商后进行处理。</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5. 本合同适用中华人民共和国民法典及相关法律。</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附件一：《供货内容及明细价格》</w:t>
      </w: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附件二：其它需要明确约定的事项</w:t>
      </w:r>
    </w:p>
    <w:p>
      <w:pPr>
        <w:autoSpaceDE w:val="0"/>
        <w:autoSpaceDN w:val="0"/>
        <w:adjustRightInd w:val="0"/>
        <w:snapToGrid w:val="0"/>
        <w:spacing w:line="360" w:lineRule="auto"/>
        <w:ind w:firstLine="512" w:firstLineChars="200"/>
        <w:rPr>
          <w:rFonts w:ascii="宋体" w:hAnsi="宋体"/>
          <w:color w:val="auto"/>
          <w:spacing w:val="8"/>
          <w:kern w:val="0"/>
          <w:sz w:val="24"/>
        </w:rPr>
      </w:pPr>
    </w:p>
    <w:p>
      <w:pPr>
        <w:autoSpaceDE w:val="0"/>
        <w:autoSpaceDN w:val="0"/>
        <w:adjustRightInd w:val="0"/>
        <w:snapToGrid w:val="0"/>
        <w:spacing w:line="360" w:lineRule="auto"/>
        <w:ind w:firstLine="512" w:firstLineChars="200"/>
        <w:rPr>
          <w:rFonts w:ascii="宋体" w:hAnsi="宋体"/>
          <w:color w:val="auto"/>
          <w:spacing w:val="8"/>
          <w:kern w:val="0"/>
          <w:sz w:val="24"/>
        </w:rPr>
      </w:pPr>
    </w:p>
    <w:p>
      <w:pPr>
        <w:autoSpaceDE w:val="0"/>
        <w:autoSpaceDN w:val="0"/>
        <w:adjustRightInd w:val="0"/>
        <w:snapToGrid w:val="0"/>
        <w:spacing w:line="360" w:lineRule="auto"/>
        <w:ind w:firstLine="512" w:firstLineChars="200"/>
        <w:rPr>
          <w:rFonts w:ascii="宋体" w:hAnsi="宋体"/>
          <w:color w:val="auto"/>
          <w:spacing w:val="8"/>
          <w:kern w:val="0"/>
          <w:sz w:val="24"/>
        </w:rPr>
      </w:pP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（此页无正文）</w:t>
      </w:r>
    </w:p>
    <w:p>
      <w:pPr>
        <w:autoSpaceDE w:val="0"/>
        <w:autoSpaceDN w:val="0"/>
        <w:adjustRightInd w:val="0"/>
        <w:snapToGrid w:val="0"/>
        <w:spacing w:line="360" w:lineRule="auto"/>
        <w:ind w:firstLine="512" w:firstLineChars="200"/>
        <w:rPr>
          <w:rFonts w:ascii="宋体" w:hAnsi="宋体"/>
          <w:color w:val="auto"/>
          <w:spacing w:val="8"/>
          <w:kern w:val="0"/>
          <w:sz w:val="24"/>
        </w:rPr>
      </w:pP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 xml:space="preserve">甲方（盖章）：华中农业大学     </w:t>
      </w:r>
    </w:p>
    <w:p>
      <w:pPr>
        <w:autoSpaceDE w:val="0"/>
        <w:autoSpaceDN w:val="0"/>
        <w:adjustRightInd w:val="0"/>
        <w:snapToGrid w:val="0"/>
        <w:spacing w:line="360" w:lineRule="auto"/>
        <w:ind w:firstLine="512" w:firstLineChars="200"/>
        <w:rPr>
          <w:rFonts w:ascii="宋体" w:hAnsi="宋体"/>
          <w:color w:val="auto"/>
          <w:spacing w:val="8"/>
          <w:kern w:val="0"/>
          <w:sz w:val="24"/>
        </w:rPr>
      </w:pP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 xml:space="preserve">授权代表人：                  </w:t>
      </w:r>
    </w:p>
    <w:p>
      <w:pPr>
        <w:autoSpaceDE w:val="0"/>
        <w:autoSpaceDN w:val="0"/>
        <w:adjustRightInd w:val="0"/>
        <w:snapToGrid w:val="0"/>
        <w:spacing w:line="360" w:lineRule="auto"/>
        <w:ind w:firstLine="512" w:firstLineChars="200"/>
        <w:rPr>
          <w:rFonts w:ascii="宋体" w:hAnsi="宋体"/>
          <w:color w:val="auto"/>
          <w:spacing w:val="8"/>
          <w:kern w:val="0"/>
          <w:sz w:val="24"/>
        </w:rPr>
      </w:pP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 xml:space="preserve">日  期：   </w:t>
      </w:r>
      <w:r>
        <w:rPr>
          <w:rFonts w:hint="eastAsia" w:ascii="宋体" w:hAnsi="宋体"/>
          <w:bCs/>
          <w:color w:val="auto"/>
          <w:szCs w:val="21"/>
        </w:rPr>
        <w:t>年   月   日</w:t>
      </w:r>
      <w:r>
        <w:rPr>
          <w:rFonts w:hint="eastAsia" w:ascii="宋体" w:hAnsi="宋体"/>
          <w:color w:val="auto"/>
          <w:spacing w:val="8"/>
          <w:kern w:val="0"/>
          <w:sz w:val="24"/>
        </w:rPr>
        <w:t xml:space="preserve">          </w:t>
      </w:r>
    </w:p>
    <w:p>
      <w:pPr>
        <w:autoSpaceDE w:val="0"/>
        <w:autoSpaceDN w:val="0"/>
        <w:adjustRightInd w:val="0"/>
        <w:snapToGrid w:val="0"/>
        <w:spacing w:line="360" w:lineRule="auto"/>
        <w:ind w:firstLine="512" w:firstLineChars="200"/>
        <w:rPr>
          <w:rFonts w:ascii="宋体" w:hAnsi="宋体"/>
          <w:color w:val="auto"/>
          <w:spacing w:val="8"/>
          <w:kern w:val="0"/>
          <w:sz w:val="24"/>
        </w:rPr>
      </w:pPr>
    </w:p>
    <w:p>
      <w:pPr>
        <w:autoSpaceDE w:val="0"/>
        <w:autoSpaceDN w:val="0"/>
        <w:adjustRightInd w:val="0"/>
        <w:snapToGrid w:val="0"/>
        <w:spacing w:line="360" w:lineRule="auto"/>
        <w:ind w:firstLine="512" w:firstLineChars="200"/>
        <w:rPr>
          <w:rFonts w:ascii="宋体" w:hAnsi="宋体"/>
          <w:color w:val="auto"/>
          <w:spacing w:val="8"/>
          <w:kern w:val="0"/>
          <w:sz w:val="24"/>
        </w:rPr>
      </w:pP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乙方（盖章）：</w:t>
      </w:r>
      <w:r>
        <w:rPr>
          <w:rFonts w:hint="eastAsia" w:ascii="宋体" w:hAnsi="宋体"/>
          <w:bCs/>
          <w:color w:val="auto"/>
          <w:spacing w:val="8"/>
          <w:kern w:val="0"/>
          <w:sz w:val="24"/>
        </w:rPr>
        <w:t>汉口银行股份有限公司洪山支行</w:t>
      </w:r>
      <w:r>
        <w:rPr>
          <w:rFonts w:hint="eastAsia" w:ascii="宋体" w:hAnsi="宋体"/>
          <w:color w:val="auto"/>
          <w:spacing w:val="8"/>
          <w:kern w:val="0"/>
          <w:sz w:val="24"/>
        </w:rPr>
        <w:t xml:space="preserve"> </w:t>
      </w:r>
    </w:p>
    <w:p>
      <w:pPr>
        <w:autoSpaceDE w:val="0"/>
        <w:autoSpaceDN w:val="0"/>
        <w:adjustRightInd w:val="0"/>
        <w:snapToGrid w:val="0"/>
        <w:spacing w:before="100" w:beforeAutospacing="1" w:after="100" w:afterAutospacing="1" w:line="460" w:lineRule="exact"/>
        <w:ind w:firstLine="512" w:firstLineChars="200"/>
        <w:rPr>
          <w:rFonts w:ascii="宋体" w:hAnsi="宋体"/>
          <w:color w:val="auto"/>
          <w:spacing w:val="8"/>
          <w:kern w:val="0"/>
          <w:sz w:val="24"/>
        </w:rPr>
      </w:pPr>
      <w:r>
        <w:rPr>
          <w:rFonts w:hint="eastAsia" w:ascii="宋体" w:hAnsi="宋体"/>
          <w:color w:val="auto"/>
          <w:spacing w:val="8"/>
          <w:kern w:val="0"/>
          <w:sz w:val="24"/>
        </w:rPr>
        <w:t>授权代表人：</w:t>
      </w:r>
    </w:p>
    <w:p>
      <w:pPr>
        <w:autoSpaceDE w:val="0"/>
        <w:autoSpaceDN w:val="0"/>
        <w:adjustRightInd w:val="0"/>
        <w:snapToGrid w:val="0"/>
        <w:spacing w:before="100" w:beforeAutospacing="1" w:after="100" w:afterAutospacing="1" w:line="460" w:lineRule="exact"/>
        <w:ind w:firstLine="512" w:firstLineChars="200"/>
        <w:rPr>
          <w:rFonts w:ascii="宋体" w:hAnsi="宋体"/>
          <w:color w:val="auto"/>
          <w:spacing w:val="8"/>
          <w:kern w:val="0"/>
          <w:sz w:val="24"/>
        </w:rPr>
      </w:pP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日  期：    年   月   日</w:t>
      </w:r>
    </w:p>
    <w:p>
      <w:pPr>
        <w:autoSpaceDE w:val="0"/>
        <w:autoSpaceDN w:val="0"/>
        <w:adjustRightInd w:val="0"/>
        <w:snapToGrid w:val="0"/>
        <w:spacing w:before="100" w:beforeAutospacing="1" w:after="100" w:afterAutospacing="1" w:line="460" w:lineRule="exact"/>
        <w:ind w:firstLine="512" w:firstLineChars="200"/>
        <w:rPr>
          <w:rFonts w:ascii="宋体" w:hAnsi="宋体"/>
          <w:color w:val="auto"/>
          <w:spacing w:val="8"/>
          <w:kern w:val="0"/>
          <w:sz w:val="24"/>
        </w:rPr>
      </w:pPr>
    </w:p>
    <w:p>
      <w:pPr>
        <w:autoSpaceDE w:val="0"/>
        <w:autoSpaceDN w:val="0"/>
        <w:adjustRightInd w:val="0"/>
        <w:snapToGrid w:val="0"/>
        <w:spacing w:before="100" w:beforeAutospacing="1" w:after="100" w:afterAutospacing="1" w:line="460" w:lineRule="exact"/>
        <w:ind w:firstLine="512" w:firstLineChars="200"/>
        <w:rPr>
          <w:rFonts w:ascii="宋体" w:hAnsi="宋体"/>
          <w:color w:val="auto"/>
          <w:spacing w:val="8"/>
          <w:kern w:val="0"/>
          <w:sz w:val="24"/>
        </w:rPr>
      </w:pPr>
      <w:r>
        <w:rPr>
          <w:rFonts w:hint="eastAsia" w:ascii="宋体" w:hAnsi="宋体"/>
          <w:color w:val="auto"/>
          <w:spacing w:val="8"/>
          <w:kern w:val="0"/>
          <w:sz w:val="24"/>
        </w:rPr>
        <w:t>丙方（盖章）：</w:t>
      </w:r>
    </w:p>
    <w:p>
      <w:pPr>
        <w:autoSpaceDE w:val="0"/>
        <w:autoSpaceDN w:val="0"/>
        <w:adjustRightInd w:val="0"/>
        <w:snapToGrid w:val="0"/>
        <w:spacing w:before="100" w:beforeAutospacing="1" w:after="100" w:afterAutospacing="1" w:line="460" w:lineRule="exact"/>
        <w:ind w:firstLine="512" w:firstLineChars="200"/>
        <w:rPr>
          <w:rFonts w:ascii="宋体" w:hAnsi="宋体"/>
          <w:color w:val="auto"/>
          <w:spacing w:val="8"/>
          <w:kern w:val="0"/>
          <w:sz w:val="24"/>
        </w:rPr>
      </w:pPr>
    </w:p>
    <w:p>
      <w:pPr>
        <w:autoSpaceDE w:val="0"/>
        <w:autoSpaceDN w:val="0"/>
        <w:adjustRightInd w:val="0"/>
        <w:snapToGrid w:val="0"/>
        <w:spacing w:before="100" w:beforeAutospacing="1" w:after="100" w:afterAutospacing="1" w:line="460" w:lineRule="exact"/>
        <w:ind w:firstLine="512" w:firstLineChars="200"/>
        <w:rPr>
          <w:rFonts w:ascii="宋体" w:hAnsi="宋体"/>
          <w:color w:val="auto"/>
          <w:spacing w:val="8"/>
          <w:kern w:val="0"/>
          <w:sz w:val="24"/>
        </w:rPr>
      </w:pPr>
      <w:r>
        <w:rPr>
          <w:rFonts w:hint="eastAsia" w:ascii="宋体" w:hAnsi="宋体"/>
          <w:color w:val="auto"/>
          <w:spacing w:val="8"/>
          <w:kern w:val="0"/>
          <w:sz w:val="24"/>
        </w:rPr>
        <w:t xml:space="preserve">授权代表人：               </w:t>
      </w:r>
    </w:p>
    <w:p>
      <w:pPr>
        <w:autoSpaceDE w:val="0"/>
        <w:autoSpaceDN w:val="0"/>
        <w:adjustRightInd w:val="0"/>
        <w:snapToGrid w:val="0"/>
        <w:spacing w:before="100" w:beforeAutospacing="1" w:after="100" w:afterAutospacing="1" w:line="460" w:lineRule="exact"/>
        <w:ind w:firstLine="512" w:firstLineChars="200"/>
        <w:rPr>
          <w:rFonts w:ascii="宋体" w:hAnsi="宋体"/>
          <w:color w:val="auto"/>
          <w:spacing w:val="8"/>
          <w:kern w:val="0"/>
          <w:sz w:val="24"/>
        </w:rPr>
      </w:pPr>
    </w:p>
    <w:p>
      <w:pPr>
        <w:autoSpaceDE w:val="0"/>
        <w:autoSpaceDN w:val="0"/>
        <w:adjustRightInd w:val="0"/>
        <w:snapToGrid w:val="0"/>
        <w:spacing w:line="360" w:lineRule="auto"/>
        <w:ind w:firstLine="512" w:firstLineChars="200"/>
        <w:rPr>
          <w:rFonts w:ascii="宋体" w:hAnsi="宋体"/>
          <w:color w:val="auto"/>
          <w:spacing w:val="8"/>
          <w:kern w:val="0"/>
          <w:sz w:val="24"/>
        </w:rPr>
      </w:pPr>
      <w:r>
        <w:rPr>
          <w:rFonts w:hint="eastAsia" w:ascii="宋体" w:hAnsi="宋体"/>
          <w:color w:val="auto"/>
          <w:spacing w:val="8"/>
          <w:kern w:val="0"/>
          <w:sz w:val="24"/>
        </w:rPr>
        <w:t>日</w:t>
      </w:r>
      <w:r>
        <w:rPr>
          <w:rFonts w:ascii="宋体" w:hAnsi="宋体"/>
          <w:color w:val="auto"/>
          <w:spacing w:val="8"/>
          <w:kern w:val="0"/>
          <w:sz w:val="24"/>
        </w:rPr>
        <w:t xml:space="preserve">  </w:t>
      </w:r>
      <w:r>
        <w:rPr>
          <w:rFonts w:hint="eastAsia" w:ascii="宋体" w:hAnsi="宋体"/>
          <w:color w:val="auto"/>
          <w:spacing w:val="8"/>
          <w:kern w:val="0"/>
          <w:sz w:val="24"/>
        </w:rPr>
        <w:t xml:space="preserve">期：      年   月   日 </w:t>
      </w:r>
    </w:p>
    <w:p>
      <w:pPr>
        <w:autoSpaceDE w:val="0"/>
        <w:autoSpaceDN w:val="0"/>
        <w:adjustRightInd w:val="0"/>
        <w:snapToGrid w:val="0"/>
        <w:spacing w:line="360" w:lineRule="auto"/>
        <w:ind w:firstLine="512" w:firstLineChars="200"/>
        <w:rPr>
          <w:rFonts w:ascii="宋体" w:hAnsi="宋体"/>
          <w:b/>
          <w:bCs/>
          <w:color w:val="auto"/>
          <w:spacing w:val="8"/>
          <w:kern w:val="0"/>
          <w:sz w:val="24"/>
        </w:rPr>
      </w:pPr>
      <w:r>
        <w:rPr>
          <w:rFonts w:ascii="宋体" w:hAnsi="宋体"/>
          <w:color w:val="auto"/>
          <w:spacing w:val="8"/>
          <w:kern w:val="0"/>
          <w:sz w:val="24"/>
        </w:rPr>
        <w:br w:type="page"/>
      </w:r>
      <w:r>
        <w:rPr>
          <w:rFonts w:hint="eastAsia" w:ascii="宋体" w:hAnsi="宋体"/>
          <w:b/>
          <w:bCs/>
          <w:color w:val="auto"/>
          <w:spacing w:val="8"/>
          <w:kern w:val="0"/>
          <w:sz w:val="24"/>
        </w:rPr>
        <w:t xml:space="preserve"> 附件一：《供货内容及明细价格》</w:t>
      </w:r>
    </w:p>
    <w:p>
      <w:pPr>
        <w:autoSpaceDE w:val="0"/>
        <w:autoSpaceDN w:val="0"/>
        <w:adjustRightInd w:val="0"/>
        <w:snapToGrid w:val="0"/>
        <w:spacing w:line="360" w:lineRule="auto"/>
        <w:jc w:val="right"/>
        <w:rPr>
          <w:rFonts w:ascii="宋体" w:hAnsi="宋体"/>
          <w:bCs/>
          <w:color w:val="auto"/>
          <w:spacing w:val="8"/>
          <w:kern w:val="0"/>
          <w:szCs w:val="21"/>
        </w:rPr>
      </w:pPr>
      <w:r>
        <w:rPr>
          <w:rFonts w:hint="eastAsia" w:ascii="宋体" w:hAnsi="宋体"/>
          <w:bCs/>
          <w:color w:val="auto"/>
          <w:spacing w:val="8"/>
          <w:kern w:val="0"/>
          <w:szCs w:val="21"/>
        </w:rPr>
        <w:t>人民币单位：元</w:t>
      </w:r>
    </w:p>
    <w:tbl>
      <w:tblPr>
        <w:tblStyle w:val="7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2268"/>
        <w:gridCol w:w="1134"/>
        <w:gridCol w:w="56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分类</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Cs w:val="21"/>
              </w:rPr>
            </w:pPr>
            <w:r>
              <w:rPr>
                <w:rFonts w:hint="eastAsia" w:ascii="宋体" w:hAnsi="宋体" w:cs="宋体"/>
                <w:b/>
                <w:bCs/>
                <w:color w:val="auto"/>
                <w:kern w:val="0"/>
                <w:szCs w:val="21"/>
              </w:rPr>
              <w:t>项目</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Cs w:val="21"/>
              </w:rPr>
            </w:pPr>
            <w:r>
              <w:rPr>
                <w:rFonts w:hint="eastAsia" w:ascii="宋体" w:hAnsi="宋体" w:cs="宋体"/>
                <w:b/>
                <w:bCs/>
                <w:color w:val="auto"/>
                <w:kern w:val="0"/>
                <w:szCs w:val="21"/>
              </w:rPr>
              <w:t>厂家&amp;型号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Cs w:val="21"/>
              </w:rPr>
            </w:pPr>
            <w:r>
              <w:rPr>
                <w:rFonts w:hint="eastAsia" w:ascii="宋体" w:hAnsi="宋体" w:cs="宋体"/>
                <w:b/>
                <w:bCs/>
                <w:color w:val="auto"/>
                <w:kern w:val="0"/>
                <w:szCs w:val="21"/>
              </w:rPr>
              <w:t>单价（元)</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Cs w:val="21"/>
              </w:rPr>
            </w:pPr>
            <w:r>
              <w:rPr>
                <w:rFonts w:hint="eastAsia" w:ascii="宋体" w:hAnsi="宋体" w:cs="宋体"/>
                <w:b/>
                <w:bCs/>
                <w:color w:val="auto"/>
                <w:kern w:val="0"/>
                <w:szCs w:val="21"/>
              </w:rPr>
              <w:t>数量</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Cs w:val="21"/>
              </w:rPr>
            </w:pPr>
            <w:r>
              <w:rPr>
                <w:rFonts w:hint="eastAsia" w:ascii="宋体" w:hAnsi="宋体" w:cs="宋体"/>
                <w:b/>
                <w:bCs/>
                <w:color w:val="auto"/>
                <w:kern w:val="0"/>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tcBorders>
              <w:left w:val="single" w:color="auto" w:sz="4" w:space="0"/>
              <w:right w:val="single" w:color="auto" w:sz="4" w:space="0"/>
            </w:tcBorders>
            <w:vAlign w:val="center"/>
          </w:tcPr>
          <w:p>
            <w:pPr>
              <w:widowControl/>
              <w:jc w:val="left"/>
              <w:rPr>
                <w:rFonts w:ascii="宋体" w:hAnsi="宋体" w:cs="宋体"/>
                <w:color w:val="auto"/>
                <w:kern w:val="0"/>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tcBorders>
              <w:left w:val="single" w:color="auto" w:sz="4" w:space="0"/>
              <w:right w:val="single" w:color="auto" w:sz="4" w:space="0"/>
            </w:tcBorders>
            <w:vAlign w:val="center"/>
          </w:tcPr>
          <w:p>
            <w:pPr>
              <w:widowControl/>
              <w:jc w:val="left"/>
              <w:rPr>
                <w:rFonts w:ascii="宋体" w:hAnsi="宋体" w:cs="宋体"/>
                <w:color w:val="auto"/>
                <w:kern w:val="0"/>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Cs w:val="21"/>
              </w:rPr>
            </w:pPr>
          </w:p>
        </w:tc>
      </w:tr>
    </w:tbl>
    <w:p>
      <w:pPr>
        <w:autoSpaceDE w:val="0"/>
        <w:autoSpaceDN w:val="0"/>
        <w:adjustRightInd w:val="0"/>
        <w:snapToGrid w:val="0"/>
        <w:spacing w:line="440" w:lineRule="atLeast"/>
        <w:jc w:val="left"/>
        <w:rPr>
          <w:rFonts w:ascii="宋体" w:hAnsi="宋体" w:cs="Arial"/>
          <w:bCs/>
          <w:color w:val="auto"/>
        </w:rPr>
      </w:pPr>
      <w:r>
        <w:rPr>
          <w:rFonts w:hint="eastAsia" w:ascii="宋体" w:hAnsi="宋体" w:cs="Arial"/>
          <w:bCs/>
          <w:color w:val="auto"/>
        </w:rPr>
        <w:t>注：上述费用包含但不限于设备净价、从出厂到设备安装现场的运保费、安装费、设备*年的保修服务费、配套设备、软件开发费用及各项税费等一切费用。</w:t>
      </w:r>
    </w:p>
    <w:p>
      <w:pPr>
        <w:pStyle w:val="5"/>
        <w:rPr>
          <w:rFonts w:ascii="宋体" w:hAnsi="宋体" w:eastAsia="宋体" w:cs="Arial"/>
          <w:color w:val="auto"/>
        </w:rPr>
      </w:pPr>
    </w:p>
    <w:p>
      <w:pPr>
        <w:autoSpaceDE w:val="0"/>
        <w:autoSpaceDN w:val="0"/>
        <w:adjustRightInd w:val="0"/>
        <w:snapToGrid w:val="0"/>
        <w:spacing w:line="360" w:lineRule="auto"/>
        <w:ind w:firstLine="514" w:firstLineChars="200"/>
        <w:rPr>
          <w:rFonts w:ascii="宋体" w:hAnsi="宋体"/>
          <w:b/>
          <w:bCs/>
          <w:color w:val="auto"/>
          <w:spacing w:val="8"/>
          <w:kern w:val="0"/>
          <w:sz w:val="24"/>
        </w:rPr>
      </w:pPr>
      <w:r>
        <w:rPr>
          <w:rFonts w:hint="eastAsia" w:ascii="宋体" w:hAnsi="宋体"/>
          <w:b/>
          <w:bCs/>
          <w:color w:val="auto"/>
          <w:spacing w:val="8"/>
          <w:kern w:val="0"/>
          <w:sz w:val="24"/>
        </w:rPr>
        <w:t>附件二：其它需要明确约定的事项</w:t>
      </w:r>
    </w:p>
    <w:p>
      <w:pPr>
        <w:rPr>
          <w:color w:val="auto"/>
        </w:rPr>
      </w:pPr>
    </w:p>
    <w:bookmarkEnd w:id="174"/>
    <w:p>
      <w:pPr>
        <w:pStyle w:val="4"/>
        <w:pageBreakBefore/>
        <w:numPr>
          <w:ilvl w:val="0"/>
          <w:numId w:val="14"/>
        </w:numPr>
        <w:jc w:val="center"/>
        <w:rPr>
          <w:rStyle w:val="87"/>
          <w:rFonts w:ascii="宋体" w:hAnsi="宋体" w:cs="宋体"/>
          <w:b w:val="0"/>
          <w:bCs w:val="0"/>
          <w:color w:val="auto"/>
          <w:sz w:val="32"/>
          <w:szCs w:val="32"/>
        </w:rPr>
      </w:pPr>
      <w:bookmarkStart w:id="175" w:name="_Toc28138"/>
      <w:bookmarkStart w:id="176" w:name="_Hlk42769823"/>
      <w:r>
        <w:rPr>
          <w:rStyle w:val="87"/>
          <w:rFonts w:hint="eastAsia" w:ascii="宋体" w:hAnsi="宋体" w:cs="宋体"/>
          <w:b w:val="0"/>
          <w:bCs w:val="0"/>
          <w:color w:val="auto"/>
          <w:sz w:val="32"/>
          <w:szCs w:val="32"/>
        </w:rPr>
        <w:t>采购项目需求</w:t>
      </w:r>
      <w:bookmarkEnd w:id="175"/>
      <w:r>
        <w:rPr>
          <w:rStyle w:val="87"/>
          <w:rFonts w:hint="eastAsia" w:ascii="宋体" w:hAnsi="宋体" w:cs="宋体"/>
          <w:b w:val="0"/>
          <w:bCs w:val="0"/>
          <w:color w:val="auto"/>
          <w:sz w:val="32"/>
          <w:szCs w:val="32"/>
        </w:rPr>
        <w:t>及技术要求</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kern w:val="0"/>
          <w:sz w:val="24"/>
          <w:lang w:val="zh-CN"/>
        </w:rPr>
        <w:t>华中农业大学校园卡系统核心</w:t>
      </w:r>
      <w:r>
        <w:rPr>
          <w:rFonts w:hint="eastAsia" w:ascii="宋体" w:hAnsi="宋体" w:cs="宋体"/>
          <w:color w:val="auto"/>
          <w:kern w:val="0"/>
          <w:sz w:val="24"/>
          <w:lang w:val="zh-CN"/>
        </w:rPr>
        <w:t>网络设备购置项目</w:t>
      </w:r>
    </w:p>
    <w:p>
      <w:pPr>
        <w:spacing w:line="360" w:lineRule="auto"/>
        <w:ind w:firstLine="480" w:firstLineChars="200"/>
        <w:rPr>
          <w:rFonts w:ascii="宋体" w:hAnsi="宋体" w:cs="宋体"/>
          <w:color w:val="auto"/>
          <w:sz w:val="24"/>
        </w:rPr>
      </w:pPr>
      <w:r>
        <w:rPr>
          <w:rFonts w:hint="eastAsia" w:ascii="宋体" w:hAnsi="宋体" w:cs="宋体"/>
          <w:color w:val="auto"/>
          <w:sz w:val="24"/>
        </w:rPr>
        <w:t>预算金额：50万元</w:t>
      </w:r>
    </w:p>
    <w:p>
      <w:pPr>
        <w:spacing w:line="360" w:lineRule="auto"/>
        <w:ind w:firstLine="480" w:firstLineChars="200"/>
        <w:rPr>
          <w:rFonts w:ascii="宋体" w:hAnsi="宋体" w:cs="宋体"/>
          <w:color w:val="auto"/>
          <w:sz w:val="24"/>
        </w:rPr>
      </w:pPr>
      <w:r>
        <w:rPr>
          <w:rFonts w:hint="eastAsia" w:ascii="宋体" w:hAnsi="宋体" w:cs="宋体"/>
          <w:color w:val="auto"/>
          <w:sz w:val="24"/>
        </w:rPr>
        <w:t>最高限价：50万元，供应商报价超过最高限价，其响应文件将被否决。</w:t>
      </w:r>
    </w:p>
    <w:p>
      <w:pPr>
        <w:spacing w:line="360" w:lineRule="auto"/>
        <w:ind w:firstLine="480" w:firstLineChars="200"/>
        <w:rPr>
          <w:rFonts w:ascii="宋体" w:hAnsi="宋体" w:cs="宋体"/>
          <w:color w:val="auto"/>
          <w:sz w:val="24"/>
        </w:rPr>
      </w:pPr>
      <w:r>
        <w:rPr>
          <w:rFonts w:hint="eastAsia" w:ascii="宋体" w:hAnsi="宋体" w:cs="宋体"/>
          <w:color w:val="auto"/>
          <w:sz w:val="24"/>
        </w:rPr>
        <w:t>采购需求：购置校园卡核心交换机2台。</w:t>
      </w:r>
    </w:p>
    <w:p>
      <w:pPr>
        <w:spacing w:line="360" w:lineRule="auto"/>
        <w:ind w:firstLine="480" w:firstLineChars="200"/>
        <w:rPr>
          <w:rFonts w:ascii="宋体" w:hAnsi="宋体" w:cs="宋体"/>
          <w:color w:val="auto"/>
          <w:sz w:val="24"/>
        </w:rPr>
      </w:pPr>
      <w:r>
        <w:rPr>
          <w:rFonts w:hint="eastAsia" w:ascii="宋体" w:hAnsi="宋体" w:cs="宋体"/>
          <w:color w:val="auto"/>
          <w:sz w:val="24"/>
        </w:rPr>
        <w:t>合同履行期限：自合同签订之日起30日历天内完成所有供货、安装、系统整体调试及相关服务，即完成校园卡系统核心网络交钥匙工程。</w:t>
      </w:r>
    </w:p>
    <w:p>
      <w:pPr>
        <w:spacing w:line="360" w:lineRule="auto"/>
        <w:ind w:firstLine="480" w:firstLineChars="200"/>
        <w:rPr>
          <w:rFonts w:ascii="宋体" w:hAnsi="宋体" w:cs="宋体"/>
          <w:color w:val="auto"/>
          <w:sz w:val="24"/>
        </w:rPr>
      </w:pPr>
      <w:r>
        <w:rPr>
          <w:rFonts w:hint="eastAsia" w:ascii="宋体" w:hAnsi="宋体" w:cs="宋体"/>
          <w:color w:val="auto"/>
          <w:sz w:val="24"/>
        </w:rPr>
        <w:t>服务/履约地点：采购人指定的项目现场</w:t>
      </w:r>
    </w:p>
    <w:p>
      <w:pPr>
        <w:spacing w:line="360" w:lineRule="auto"/>
        <w:ind w:firstLine="480" w:firstLineChars="200"/>
        <w:rPr>
          <w:rFonts w:ascii="宋体" w:hAnsi="宋体" w:cs="宋体"/>
          <w:color w:val="auto"/>
          <w:sz w:val="24"/>
        </w:rPr>
      </w:pPr>
      <w:r>
        <w:rPr>
          <w:rFonts w:hint="eastAsia" w:ascii="宋体" w:hAnsi="宋体" w:cs="宋体"/>
          <w:color w:val="auto"/>
          <w:sz w:val="24"/>
        </w:rPr>
        <w:t>质量标准：合格，满足采购人需求。</w:t>
      </w:r>
    </w:p>
    <w:p>
      <w:pPr>
        <w:spacing w:line="360" w:lineRule="auto"/>
        <w:ind w:firstLine="480" w:firstLineChars="200"/>
        <w:rPr>
          <w:rFonts w:ascii="宋体" w:hAnsi="宋体" w:cs="宋体"/>
          <w:color w:val="auto"/>
          <w:sz w:val="24"/>
        </w:rPr>
      </w:pPr>
      <w:r>
        <w:rPr>
          <w:rFonts w:hint="eastAsia" w:ascii="宋体" w:hAnsi="宋体" w:cs="宋体"/>
          <w:color w:val="auto"/>
          <w:sz w:val="24"/>
        </w:rPr>
        <w:t>售后服务：提供5年原厂全免费质保服务。</w:t>
      </w:r>
      <w:r>
        <w:rPr>
          <w:rFonts w:hint="eastAsia" w:ascii="宋体" w:hAnsi="宋体" w:cs="宋体"/>
          <w:color w:val="auto"/>
          <w:sz w:val="24"/>
        </w:rPr>
        <w:t>（提供承诺函，函中须承诺签订合同时须提供“原厂售后服务承诺函”）</w:t>
      </w:r>
    </w:p>
    <w:p>
      <w:pPr>
        <w:spacing w:line="360" w:lineRule="auto"/>
        <w:rPr>
          <w:rFonts w:ascii="宋体" w:hAnsi="宋体"/>
          <w:color w:val="auto"/>
          <w:sz w:val="24"/>
        </w:rPr>
      </w:pPr>
      <w:r>
        <w:rPr>
          <w:rFonts w:hint="eastAsia" w:ascii="宋体" w:hAnsi="宋体"/>
          <w:color w:val="auto"/>
          <w:sz w:val="24"/>
        </w:rPr>
        <w:t>一、采购需求及要求</w:t>
      </w:r>
    </w:p>
    <w:p>
      <w:pPr>
        <w:spacing w:line="360" w:lineRule="auto"/>
        <w:ind w:firstLine="480" w:firstLineChars="200"/>
        <w:rPr>
          <w:rFonts w:ascii="宋体" w:hAnsi="宋体"/>
          <w:color w:val="auto"/>
          <w:sz w:val="24"/>
        </w:rPr>
      </w:pPr>
      <w:r>
        <w:rPr>
          <w:rFonts w:hint="eastAsia" w:ascii="宋体" w:hAnsi="宋体"/>
          <w:color w:val="auto"/>
          <w:sz w:val="24"/>
        </w:rPr>
        <w:t>拟计划采用核心虚拟化，2虚1，逻辑上两台交换机将以一台系统在网络中出现，与两个机房的双汇聚交换机（堆叠后）形成三角形架构，主机业务网关上移到核心交换机，核心交换机与服务器区汇聚，校园卡接入区交换均采用二层互联。实现链路的高可靠和高性能负载均衡，避免使用M</w:t>
      </w:r>
      <w:r>
        <w:rPr>
          <w:rFonts w:ascii="宋体" w:hAnsi="宋体"/>
          <w:color w:val="auto"/>
          <w:sz w:val="24"/>
        </w:rPr>
        <w:t>STP</w:t>
      </w:r>
      <w:r>
        <w:rPr>
          <w:rFonts w:hint="eastAsia" w:ascii="宋体" w:hAnsi="宋体"/>
          <w:color w:val="auto"/>
          <w:sz w:val="24"/>
        </w:rPr>
        <w:t>方式下链路的利用率很低，浪费大量的带宽资源，实现核心网络的双活。</w:t>
      </w:r>
    </w:p>
    <w:p>
      <w:pPr>
        <w:spacing w:line="360" w:lineRule="auto"/>
        <w:ind w:firstLine="480" w:firstLineChars="200"/>
        <w:rPr>
          <w:rFonts w:ascii="宋体" w:hAnsi="宋体"/>
          <w:color w:val="auto"/>
          <w:sz w:val="24"/>
        </w:rPr>
      </w:pPr>
      <w:r>
        <w:rPr>
          <w:rFonts w:hint="eastAsia" w:ascii="宋体" w:hAnsi="宋体"/>
          <w:color w:val="auto"/>
          <w:sz w:val="24"/>
        </w:rPr>
        <w:t>在保持现有网络架构不变的基础上，新增的核心交换机与前端校园卡接入区交换机，汇聚交换机采用全互联模式（</w:t>
      </w:r>
      <w:r>
        <w:rPr>
          <w:rFonts w:ascii="宋体" w:hAnsi="宋体"/>
          <w:color w:val="auto"/>
          <w:sz w:val="24"/>
        </w:rPr>
        <w:t>Full mesh</w:t>
      </w:r>
      <w:r>
        <w:rPr>
          <w:rFonts w:hint="eastAsia" w:ascii="宋体" w:hAnsi="宋体"/>
          <w:color w:val="auto"/>
          <w:sz w:val="24"/>
        </w:rPr>
        <w:t>），系一对一的替换，现网业务线卡上的光纤和模块均可利旧。</w:t>
      </w:r>
    </w:p>
    <w:p>
      <w:pPr>
        <w:spacing w:line="360" w:lineRule="auto"/>
        <w:ind w:firstLine="480" w:firstLineChars="200"/>
        <w:rPr>
          <w:rFonts w:ascii="宋体" w:hAnsi="宋体"/>
          <w:color w:val="auto"/>
          <w:sz w:val="24"/>
        </w:rPr>
      </w:pPr>
      <w:r>
        <w:rPr>
          <w:rFonts w:hint="eastAsia" w:ascii="宋体" w:hAnsi="宋体"/>
          <w:color w:val="auto"/>
          <w:sz w:val="24"/>
        </w:rPr>
        <w:t>华中农业大学校园卡系统已经实现了应用级异地容灾，在本次项目实施过程中以及项目完成后，要始终保持网络双活，同时保证存储双活、数据库三节点正常运转、应用双活。即本次项目为交钥匙工程。</w:t>
      </w:r>
    </w:p>
    <w:p>
      <w:pPr>
        <w:spacing w:line="360" w:lineRule="auto"/>
        <w:ind w:firstLine="480" w:firstLineChars="200"/>
        <w:rPr>
          <w:rFonts w:ascii="宋体" w:hAnsi="宋体"/>
          <w:color w:val="auto"/>
          <w:sz w:val="24"/>
        </w:rPr>
      </w:pPr>
      <w:r>
        <w:rPr>
          <w:rFonts w:hint="eastAsia" w:ascii="宋体" w:hAnsi="宋体"/>
          <w:color w:val="auto"/>
          <w:sz w:val="24"/>
        </w:rPr>
        <w:t>逻辑结构拓扑图见图所示。</w:t>
      </w:r>
    </w:p>
    <w:p>
      <w:pPr>
        <w:ind w:firstLine="420" w:firstLineChars="200"/>
        <w:rPr>
          <w:rFonts w:ascii="宋体" w:hAnsi="宋体"/>
          <w:color w:val="auto"/>
          <w:sz w:val="24"/>
        </w:rPr>
      </w:pPr>
      <w:r>
        <w:rPr>
          <w:color w:val="auto"/>
        </w:rPr>
        <w:drawing>
          <wp:inline distT="0" distB="0" distL="114300" distR="114300">
            <wp:extent cx="5749290" cy="4163695"/>
            <wp:effectExtent l="0" t="0" r="3810" b="8255"/>
            <wp:docPr id="1" name="图片 1" descr="武科大拓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武科大拓扑"/>
                    <pic:cNvPicPr>
                      <a:picLocks noChangeAspect="1"/>
                    </pic:cNvPicPr>
                  </pic:nvPicPr>
                  <pic:blipFill>
                    <a:blip r:embed="rId14"/>
                    <a:stretch>
                      <a:fillRect/>
                    </a:stretch>
                  </pic:blipFill>
                  <pic:spPr>
                    <a:xfrm>
                      <a:off x="0" y="0"/>
                      <a:ext cx="5749290" cy="4163695"/>
                    </a:xfrm>
                    <a:prstGeom prst="rect">
                      <a:avLst/>
                    </a:prstGeom>
                    <a:noFill/>
                    <a:ln>
                      <a:noFill/>
                    </a:ln>
                  </pic:spPr>
                </pic:pic>
              </a:graphicData>
            </a:graphic>
          </wp:inline>
        </w:drawing>
      </w:r>
    </w:p>
    <w:p>
      <w:pPr>
        <w:jc w:val="center"/>
        <w:rPr>
          <w:b/>
          <w:bCs/>
          <w:color w:val="auto"/>
          <w:sz w:val="28"/>
          <w:szCs w:val="28"/>
        </w:rPr>
        <w:sectPr>
          <w:pgSz w:w="11906" w:h="16838"/>
          <w:pgMar w:top="1440" w:right="1800" w:bottom="1440" w:left="1800" w:header="851" w:footer="992" w:gutter="0"/>
          <w:cols w:space="425" w:num="1"/>
          <w:docGrid w:type="lines" w:linePitch="312" w:charSpace="0"/>
        </w:sectPr>
      </w:pPr>
    </w:p>
    <w:p>
      <w:pPr>
        <w:jc w:val="center"/>
        <w:rPr>
          <w:b/>
          <w:bCs/>
          <w:color w:val="auto"/>
          <w:sz w:val="28"/>
          <w:szCs w:val="28"/>
        </w:rPr>
      </w:pPr>
      <w:r>
        <w:rPr>
          <w:rFonts w:hint="eastAsia"/>
          <w:b/>
          <w:bCs/>
          <w:color w:val="auto"/>
          <w:sz w:val="28"/>
          <w:szCs w:val="28"/>
        </w:rPr>
        <w:t>校园卡核心交换机招标技术参数（数量：2套）</w:t>
      </w:r>
    </w:p>
    <w:tbl>
      <w:tblPr>
        <w:tblStyle w:val="75"/>
        <w:tblW w:w="52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3"/>
        <w:gridCol w:w="8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pct"/>
            <w:shd w:val="clear" w:color="auto" w:fill="EEECE1" w:themeFill="background2"/>
            <w:vAlign w:val="center"/>
          </w:tcPr>
          <w:p>
            <w:pPr>
              <w:spacing w:line="276" w:lineRule="auto"/>
              <w:jc w:val="center"/>
              <w:rPr>
                <w:rFonts w:cs="宋体"/>
                <w:b/>
                <w:color w:val="auto"/>
                <w:kern w:val="0"/>
              </w:rPr>
            </w:pPr>
            <w:r>
              <w:rPr>
                <w:rFonts w:hint="eastAsia" w:cs="宋体"/>
                <w:b/>
                <w:color w:val="auto"/>
                <w:kern w:val="0"/>
              </w:rPr>
              <w:t>指标项</w:t>
            </w:r>
          </w:p>
        </w:tc>
        <w:tc>
          <w:tcPr>
            <w:tcW w:w="4131" w:type="pct"/>
            <w:shd w:val="clear" w:color="auto" w:fill="EEECE1" w:themeFill="background2"/>
          </w:tcPr>
          <w:p>
            <w:pPr>
              <w:tabs>
                <w:tab w:val="center" w:pos="1312"/>
              </w:tabs>
              <w:spacing w:line="276" w:lineRule="auto"/>
              <w:jc w:val="center"/>
              <w:rPr>
                <w:rFonts w:cs="宋体"/>
                <w:b/>
                <w:color w:val="auto"/>
                <w:kern w:val="0"/>
              </w:rPr>
            </w:pPr>
            <w:r>
              <w:rPr>
                <w:rFonts w:hint="eastAsia" w:cs="宋体"/>
                <w:b/>
                <w:color w:val="auto"/>
                <w:kern w:val="0"/>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pct"/>
            <w:vAlign w:val="center"/>
          </w:tcPr>
          <w:p>
            <w:pPr>
              <w:spacing w:line="276" w:lineRule="auto"/>
              <w:rPr>
                <w:color w:val="auto"/>
              </w:rPr>
            </w:pPr>
            <w:r>
              <w:rPr>
                <w:rFonts w:hint="eastAsia"/>
                <w:color w:val="auto"/>
              </w:rPr>
              <w:t>★硬件要求</w:t>
            </w:r>
          </w:p>
        </w:tc>
        <w:tc>
          <w:tcPr>
            <w:tcW w:w="4131" w:type="pct"/>
            <w:vAlign w:val="center"/>
          </w:tcPr>
          <w:p>
            <w:pPr>
              <w:spacing w:line="276" w:lineRule="auto"/>
              <w:rPr>
                <w:rFonts w:cs="宋体"/>
                <w:color w:val="auto"/>
                <w:kern w:val="0"/>
              </w:rPr>
            </w:pPr>
            <w:r>
              <w:rPr>
                <w:rFonts w:hint="eastAsia"/>
                <w:color w:val="auto"/>
              </w:rPr>
              <w:t>采用CLOS多级交换架构，</w:t>
            </w:r>
            <w:r>
              <w:rPr>
                <w:rFonts w:hint="eastAsia" w:cs="宋体"/>
                <w:color w:val="auto"/>
                <w:kern w:val="0"/>
              </w:rPr>
              <w:t>主控与交换网板物理分离；交换网板槽位数≥6个，</w:t>
            </w:r>
            <w:r>
              <w:rPr>
                <w:rFonts w:hint="eastAsia"/>
                <w:color w:val="auto"/>
              </w:rPr>
              <w:t>主控槽位数≥2个，电源槽位数</w:t>
            </w:r>
            <w:r>
              <w:rPr>
                <w:rFonts w:hint="eastAsia" w:cs="宋体"/>
                <w:color w:val="auto"/>
                <w:kern w:val="0"/>
              </w:rPr>
              <w:t>≥4个，风扇槽位数</w:t>
            </w:r>
            <w:r>
              <w:rPr>
                <w:rFonts w:hint="eastAsia"/>
                <w:color w:val="auto"/>
              </w:rPr>
              <w:t>≥2个（提供官网截图及链接）。</w:t>
            </w:r>
            <w:r>
              <w:rPr>
                <w:rFonts w:hint="eastAsia" w:cs="宋体"/>
                <w:color w:val="auto"/>
                <w:kern w:val="0"/>
              </w:rPr>
              <w:t>本次要求配置满配主控、交换网板、电源和风扇。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pct"/>
            <w:vAlign w:val="center"/>
          </w:tcPr>
          <w:p>
            <w:pPr>
              <w:spacing w:line="276" w:lineRule="auto"/>
              <w:rPr>
                <w:color w:val="auto"/>
              </w:rPr>
            </w:pPr>
            <w:r>
              <w:rPr>
                <w:rFonts w:hint="eastAsia"/>
                <w:color w:val="auto"/>
              </w:rPr>
              <w:t>★性能要求</w:t>
            </w:r>
          </w:p>
        </w:tc>
        <w:tc>
          <w:tcPr>
            <w:tcW w:w="4131" w:type="pct"/>
            <w:vAlign w:val="center"/>
          </w:tcPr>
          <w:p>
            <w:pPr>
              <w:spacing w:line="276" w:lineRule="auto"/>
              <w:rPr>
                <w:color w:val="auto"/>
              </w:rPr>
            </w:pPr>
            <w:r>
              <w:rPr>
                <w:rFonts w:hint="eastAsia"/>
                <w:color w:val="auto"/>
              </w:rPr>
              <w:t>整机交换容量</w:t>
            </w:r>
            <w:r>
              <w:rPr>
                <w:rFonts w:hint="eastAsia" w:cs="宋体"/>
                <w:color w:val="auto"/>
                <w:kern w:val="0"/>
              </w:rPr>
              <w:t>≥</w:t>
            </w:r>
            <w:r>
              <w:rPr>
                <w:color w:val="auto"/>
              </w:rPr>
              <w:t>300Tbps，</w:t>
            </w:r>
            <w:r>
              <w:rPr>
                <w:rFonts w:hint="eastAsia"/>
                <w:color w:val="auto"/>
              </w:rPr>
              <w:t>包转发率</w:t>
            </w:r>
            <w:r>
              <w:rPr>
                <w:rFonts w:hint="eastAsia" w:cs="宋体"/>
                <w:color w:val="auto"/>
                <w:kern w:val="0"/>
              </w:rPr>
              <w:t>≥</w:t>
            </w:r>
            <w:r>
              <w:rPr>
                <w:color w:val="auto"/>
              </w:rPr>
              <w:t>57600Mpps</w:t>
            </w:r>
            <w:r>
              <w:rPr>
                <w:rFonts w:hint="eastAsia"/>
                <w:color w:val="auto"/>
              </w:rPr>
              <w:t>。（提供官网截图及链接）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8" w:type="pct"/>
            <w:vAlign w:val="center"/>
          </w:tcPr>
          <w:p>
            <w:pPr>
              <w:spacing w:line="276" w:lineRule="auto"/>
              <w:rPr>
                <w:color w:val="auto"/>
              </w:rPr>
            </w:pPr>
            <w:r>
              <w:rPr>
                <w:rFonts w:hint="eastAsia"/>
                <w:color w:val="auto"/>
              </w:rPr>
              <w:t>IPv4协议</w:t>
            </w:r>
          </w:p>
        </w:tc>
        <w:tc>
          <w:tcPr>
            <w:tcW w:w="4131" w:type="pct"/>
            <w:vAlign w:val="center"/>
          </w:tcPr>
          <w:p>
            <w:pPr>
              <w:spacing w:line="276" w:lineRule="auto"/>
              <w:rPr>
                <w:color w:val="auto"/>
              </w:rPr>
            </w:pPr>
            <w:r>
              <w:rPr>
                <w:rFonts w:hint="eastAsia"/>
                <w:color w:val="auto"/>
              </w:rPr>
              <w:t>支持静态路由、策略路由、等价路由、RIP v1/v2、OSPF、IS-IS和BGP等。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pct"/>
            <w:vAlign w:val="center"/>
          </w:tcPr>
          <w:p>
            <w:pPr>
              <w:spacing w:line="276" w:lineRule="auto"/>
              <w:rPr>
                <w:color w:val="auto"/>
              </w:rPr>
            </w:pPr>
            <w:r>
              <w:rPr>
                <w:rFonts w:hint="eastAsia"/>
                <w:color w:val="auto"/>
              </w:rPr>
              <w:t>IPv6协议</w:t>
            </w:r>
          </w:p>
        </w:tc>
        <w:tc>
          <w:tcPr>
            <w:tcW w:w="4131" w:type="pct"/>
            <w:vAlign w:val="center"/>
          </w:tcPr>
          <w:p>
            <w:pPr>
              <w:spacing w:line="276" w:lineRule="auto"/>
              <w:rPr>
                <w:color w:val="auto"/>
              </w:rPr>
            </w:pPr>
            <w:r>
              <w:rPr>
                <w:rFonts w:hint="eastAsia"/>
                <w:color w:val="auto"/>
              </w:rPr>
              <w:t>支持IPv4和IPv6双协；支持静态路由、RIPng、OSPFv3、IS-IS v6、BGP4+等。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pct"/>
            <w:vAlign w:val="center"/>
          </w:tcPr>
          <w:p>
            <w:pPr>
              <w:spacing w:line="276" w:lineRule="auto"/>
              <w:rPr>
                <w:color w:val="auto"/>
              </w:rPr>
            </w:pPr>
            <w:r>
              <w:rPr>
                <w:rFonts w:hint="eastAsia"/>
                <w:color w:val="auto"/>
              </w:rPr>
              <w:t>A</w:t>
            </w:r>
            <w:r>
              <w:rPr>
                <w:color w:val="auto"/>
              </w:rPr>
              <w:t>CL</w:t>
            </w:r>
          </w:p>
        </w:tc>
        <w:tc>
          <w:tcPr>
            <w:tcW w:w="4131" w:type="pct"/>
            <w:vAlign w:val="center"/>
          </w:tcPr>
          <w:p>
            <w:pPr>
              <w:spacing w:line="276" w:lineRule="auto"/>
              <w:rPr>
                <w:rFonts w:cs="宋体"/>
                <w:color w:val="auto"/>
              </w:rPr>
            </w:pPr>
            <w:r>
              <w:rPr>
                <w:rFonts w:hint="eastAsia"/>
                <w:color w:val="auto"/>
              </w:rPr>
              <w:t>每板支持8k ACL。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pct"/>
            <w:vAlign w:val="center"/>
          </w:tcPr>
          <w:p>
            <w:pPr>
              <w:spacing w:line="276" w:lineRule="auto"/>
              <w:rPr>
                <w:color w:val="auto"/>
              </w:rPr>
            </w:pPr>
            <w:r>
              <w:rPr>
                <w:rFonts w:hint="eastAsia"/>
                <w:color w:val="auto"/>
              </w:rPr>
              <w:t>端口镜像</w:t>
            </w:r>
          </w:p>
        </w:tc>
        <w:tc>
          <w:tcPr>
            <w:tcW w:w="4131" w:type="pct"/>
            <w:vAlign w:val="center"/>
          </w:tcPr>
          <w:p>
            <w:pPr>
              <w:spacing w:line="276" w:lineRule="auto"/>
              <w:rPr>
                <w:color w:val="auto"/>
              </w:rPr>
            </w:pPr>
            <w:r>
              <w:rPr>
                <w:color w:val="auto"/>
              </w:rPr>
              <w:t>支持多个物理端口的流量镜像到一个端口；支持跨单板的端口镜像；支持跨设备的端口镜像；支持流镜像到端口</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pct"/>
            <w:vAlign w:val="center"/>
          </w:tcPr>
          <w:p>
            <w:pPr>
              <w:spacing w:line="276" w:lineRule="auto"/>
              <w:rPr>
                <w:color w:val="auto"/>
              </w:rPr>
            </w:pPr>
            <w:r>
              <w:rPr>
                <w:rFonts w:hint="eastAsia"/>
                <w:color w:val="auto"/>
              </w:rPr>
              <w:t>流量转发</w:t>
            </w:r>
          </w:p>
        </w:tc>
        <w:tc>
          <w:tcPr>
            <w:tcW w:w="4131" w:type="pct"/>
            <w:vAlign w:val="center"/>
          </w:tcPr>
          <w:p>
            <w:pPr>
              <w:spacing w:line="276" w:lineRule="auto"/>
              <w:rPr>
                <w:color w:val="auto"/>
              </w:rPr>
            </w:pPr>
            <w:r>
              <w:rPr>
                <w:rFonts w:hint="eastAsia"/>
                <w:color w:val="auto"/>
              </w:rPr>
              <w:t>支持对流量进行定义和分类，对特定的业务流量设定转发路径和转发策略。（</w:t>
            </w:r>
            <w:r>
              <w:rPr>
                <w:color w:val="auto"/>
              </w:rPr>
              <w:t>提供第三方测试报告</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pct"/>
            <w:vAlign w:val="center"/>
          </w:tcPr>
          <w:p>
            <w:pPr>
              <w:spacing w:line="276" w:lineRule="auto"/>
              <w:rPr>
                <w:color w:val="auto"/>
              </w:rPr>
            </w:pPr>
            <w:r>
              <w:rPr>
                <w:rFonts w:hint="eastAsia"/>
                <w:color w:val="auto"/>
              </w:rPr>
              <w:t>V</w:t>
            </w:r>
            <w:r>
              <w:rPr>
                <w:color w:val="auto"/>
              </w:rPr>
              <w:t>XLAN</w:t>
            </w:r>
          </w:p>
        </w:tc>
        <w:tc>
          <w:tcPr>
            <w:tcW w:w="4131" w:type="pct"/>
            <w:vAlign w:val="center"/>
          </w:tcPr>
          <w:p>
            <w:pPr>
              <w:spacing w:line="276" w:lineRule="auto"/>
              <w:rPr>
                <w:color w:val="auto"/>
              </w:rPr>
            </w:pPr>
            <w:r>
              <w:rPr>
                <w:rFonts w:hint="eastAsia"/>
                <w:color w:val="auto"/>
              </w:rPr>
              <w:t>支持</w:t>
            </w:r>
            <w:r>
              <w:rPr>
                <w:color w:val="auto"/>
              </w:rPr>
              <w:t>VXLAN等Overlay主流标准技术</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pct"/>
            <w:vAlign w:val="center"/>
          </w:tcPr>
          <w:p>
            <w:pPr>
              <w:spacing w:line="276" w:lineRule="auto"/>
              <w:rPr>
                <w:color w:val="auto"/>
              </w:rPr>
            </w:pPr>
            <w:r>
              <w:rPr>
                <w:color w:val="auto"/>
              </w:rPr>
              <w:t>SDN</w:t>
            </w:r>
          </w:p>
        </w:tc>
        <w:tc>
          <w:tcPr>
            <w:tcW w:w="4131" w:type="pct"/>
            <w:vAlign w:val="center"/>
          </w:tcPr>
          <w:p>
            <w:pPr>
              <w:spacing w:line="276" w:lineRule="auto"/>
              <w:rPr>
                <w:color w:val="auto"/>
              </w:rPr>
            </w:pPr>
            <w:r>
              <w:rPr>
                <w:rFonts w:hint="eastAsia"/>
                <w:color w:val="auto"/>
              </w:rPr>
              <w:t>支持</w:t>
            </w:r>
            <w:r>
              <w:rPr>
                <w:color w:val="auto"/>
              </w:rPr>
              <w:t xml:space="preserve"> Openflow1.3 协议标准</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pct"/>
            <w:vAlign w:val="center"/>
          </w:tcPr>
          <w:p>
            <w:pPr>
              <w:spacing w:line="276" w:lineRule="auto"/>
              <w:rPr>
                <w:color w:val="auto"/>
              </w:rPr>
            </w:pPr>
            <w:r>
              <w:rPr>
                <w:rFonts w:hint="eastAsia"/>
                <w:color w:val="auto"/>
              </w:rPr>
              <w:t>准入特性</w:t>
            </w:r>
          </w:p>
        </w:tc>
        <w:tc>
          <w:tcPr>
            <w:tcW w:w="4131" w:type="pct"/>
            <w:vAlign w:val="center"/>
          </w:tcPr>
          <w:p>
            <w:pPr>
              <w:spacing w:line="276" w:lineRule="auto"/>
              <w:rPr>
                <w:color w:val="auto"/>
              </w:rPr>
            </w:pPr>
            <w:r>
              <w:rPr>
                <w:rFonts w:hint="eastAsia"/>
                <w:color w:val="auto"/>
              </w:rPr>
              <w:t>支持设备安全准入功能。（提供官网截图及链接）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pct"/>
            <w:vAlign w:val="center"/>
          </w:tcPr>
          <w:p>
            <w:pPr>
              <w:spacing w:line="276" w:lineRule="auto"/>
              <w:rPr>
                <w:color w:val="auto"/>
              </w:rPr>
            </w:pPr>
            <w:r>
              <w:rPr>
                <w:rFonts w:hint="eastAsia"/>
                <w:color w:val="auto"/>
              </w:rPr>
              <w:t>虚拟化</w:t>
            </w:r>
          </w:p>
        </w:tc>
        <w:tc>
          <w:tcPr>
            <w:tcW w:w="4131" w:type="pct"/>
            <w:vAlign w:val="center"/>
          </w:tcPr>
          <w:p>
            <w:pPr>
              <w:spacing w:line="276" w:lineRule="auto"/>
              <w:rPr>
                <w:color w:val="auto"/>
              </w:rPr>
            </w:pPr>
            <w:r>
              <w:rPr>
                <w:color w:val="auto"/>
              </w:rPr>
              <w:t>支持多虚一虚拟化，</w:t>
            </w:r>
            <w:r>
              <w:rPr>
                <w:rFonts w:hint="eastAsia"/>
                <w:color w:val="auto"/>
              </w:rPr>
              <w:t>可将多台物理设备虚拟成一台逻辑设备。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pct"/>
            <w:vAlign w:val="center"/>
          </w:tcPr>
          <w:p>
            <w:pPr>
              <w:widowControl/>
              <w:spacing w:line="276" w:lineRule="auto"/>
              <w:rPr>
                <w:rFonts w:ascii="宋体" w:hAnsi="宋体" w:cs="宋体"/>
                <w:color w:val="auto"/>
                <w:kern w:val="0"/>
                <w:szCs w:val="21"/>
                <w:lang w:bidi="ar"/>
              </w:rPr>
            </w:pPr>
            <w:r>
              <w:rPr>
                <w:rFonts w:hint="eastAsia"/>
                <w:color w:val="auto"/>
              </w:rPr>
              <w:t>★</w:t>
            </w:r>
            <w:r>
              <w:rPr>
                <w:rFonts w:hint="eastAsia" w:ascii="宋体" w:hAnsi="宋体"/>
                <w:color w:val="auto"/>
              </w:rPr>
              <w:t>网络安全一体化</w:t>
            </w:r>
          </w:p>
        </w:tc>
        <w:tc>
          <w:tcPr>
            <w:tcW w:w="4130" w:type="pct"/>
            <w:vAlign w:val="center"/>
          </w:tcPr>
          <w:p>
            <w:pPr>
              <w:spacing w:line="276" w:lineRule="auto"/>
              <w:rPr>
                <w:rFonts w:ascii="宋体" w:hAnsi="宋体" w:cs="宋体"/>
                <w:color w:val="auto"/>
                <w:kern w:val="0"/>
                <w:szCs w:val="21"/>
                <w:lang w:bidi="ar"/>
              </w:rPr>
            </w:pPr>
            <w:r>
              <w:rPr>
                <w:rFonts w:hint="eastAsia" w:ascii="宋体" w:hAnsi="宋体" w:cs="宋体"/>
                <w:color w:val="auto"/>
                <w:kern w:val="0"/>
                <w:szCs w:val="21"/>
                <w:lang w:bidi="ar"/>
              </w:rPr>
              <w:t>支持扩展</w:t>
            </w:r>
            <w:r>
              <w:rPr>
                <w:rFonts w:ascii="宋体" w:hAnsi="宋体" w:cs="宋体"/>
                <w:color w:val="auto"/>
                <w:kern w:val="0"/>
                <w:szCs w:val="21"/>
                <w:lang w:bidi="ar"/>
              </w:rPr>
              <w:t>上网行为管理、漏洞扫描等</w:t>
            </w:r>
            <w:r>
              <w:rPr>
                <w:rFonts w:hint="eastAsia" w:ascii="宋体" w:hAnsi="宋体" w:cs="宋体"/>
                <w:color w:val="auto"/>
                <w:kern w:val="0"/>
                <w:szCs w:val="21"/>
                <w:lang w:bidi="ar"/>
              </w:rPr>
              <w:t>安全业务</w:t>
            </w:r>
            <w:r>
              <w:rPr>
                <w:rFonts w:ascii="宋体" w:hAnsi="宋体" w:cs="宋体"/>
                <w:color w:val="auto"/>
                <w:kern w:val="0"/>
                <w:szCs w:val="21"/>
                <w:lang w:bidi="ar"/>
              </w:rPr>
              <w:t>（</w:t>
            </w:r>
            <w:r>
              <w:rPr>
                <w:rFonts w:hint="eastAsia" w:ascii="宋体" w:hAnsi="宋体" w:cs="宋体"/>
                <w:color w:val="auto"/>
                <w:kern w:val="0"/>
                <w:szCs w:val="21"/>
                <w:lang w:bidi="ar"/>
              </w:rPr>
              <w:t>提供官网链接及截图</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pct"/>
            <w:vAlign w:val="center"/>
          </w:tcPr>
          <w:p>
            <w:pPr>
              <w:spacing w:line="276" w:lineRule="auto"/>
              <w:rPr>
                <w:color w:val="auto"/>
              </w:rPr>
            </w:pPr>
            <w:r>
              <w:rPr>
                <w:rFonts w:hint="eastAsia"/>
                <w:color w:val="auto"/>
              </w:rPr>
              <w:t>业务配置</w:t>
            </w:r>
          </w:p>
        </w:tc>
        <w:tc>
          <w:tcPr>
            <w:tcW w:w="4131" w:type="pct"/>
            <w:vAlign w:val="center"/>
          </w:tcPr>
          <w:p>
            <w:pPr>
              <w:spacing w:line="276" w:lineRule="auto"/>
              <w:rPr>
                <w:rFonts w:cs="Calibri"/>
                <w:color w:val="auto"/>
              </w:rPr>
            </w:pPr>
            <w:r>
              <w:rPr>
                <w:rFonts w:hint="eastAsia" w:cs="Calibri"/>
                <w:color w:val="auto"/>
              </w:rPr>
              <w:t>设备支持在Web管理界面进行A</w:t>
            </w:r>
            <w:r>
              <w:rPr>
                <w:rFonts w:cs="Calibri"/>
                <w:color w:val="auto"/>
              </w:rPr>
              <w:t>CL，</w:t>
            </w:r>
            <w:r>
              <w:rPr>
                <w:rFonts w:hint="eastAsia" w:cs="Calibri"/>
                <w:color w:val="auto"/>
              </w:rPr>
              <w:t>端口V</w:t>
            </w:r>
            <w:r>
              <w:rPr>
                <w:rFonts w:cs="Calibri"/>
                <w:color w:val="auto"/>
              </w:rPr>
              <w:t>LAN、</w:t>
            </w:r>
            <w:r>
              <w:rPr>
                <w:rFonts w:hint="eastAsia" w:cs="Calibri"/>
                <w:color w:val="auto"/>
              </w:rPr>
              <w:t>策略路由、Qo</w:t>
            </w:r>
            <w:r>
              <w:rPr>
                <w:rFonts w:cs="Calibri"/>
                <w:color w:val="auto"/>
              </w:rPr>
              <w:t>S</w:t>
            </w:r>
            <w:r>
              <w:rPr>
                <w:rFonts w:hint="eastAsia" w:cs="Calibri"/>
                <w:color w:val="auto"/>
              </w:rPr>
              <w:t>限速等精细化业务配置。（</w:t>
            </w:r>
            <w:r>
              <w:rPr>
                <w:color w:val="auto"/>
              </w:rPr>
              <w:t>提供</w:t>
            </w:r>
            <w:r>
              <w:rPr>
                <w:rFonts w:hint="eastAsia"/>
                <w:color w:val="auto"/>
              </w:rPr>
              <w:t>设备以上所有w</w:t>
            </w:r>
            <w:r>
              <w:rPr>
                <w:color w:val="auto"/>
              </w:rPr>
              <w:t>eb</w:t>
            </w:r>
            <w:r>
              <w:rPr>
                <w:rFonts w:hint="eastAsia"/>
                <w:color w:val="auto"/>
              </w:rPr>
              <w:t>功能界面截图</w:t>
            </w:r>
            <w:r>
              <w:rPr>
                <w:rFonts w:hint="eastAsia" w:cs="Calibri"/>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pct"/>
            <w:vAlign w:val="center"/>
          </w:tcPr>
          <w:p>
            <w:pPr>
              <w:spacing w:line="276" w:lineRule="auto"/>
              <w:rPr>
                <w:color w:val="auto"/>
              </w:rPr>
            </w:pPr>
            <w:r>
              <w:rPr>
                <w:rFonts w:hint="eastAsia"/>
                <w:color w:val="auto"/>
              </w:rPr>
              <w:t>状态监测</w:t>
            </w:r>
          </w:p>
        </w:tc>
        <w:tc>
          <w:tcPr>
            <w:tcW w:w="4131" w:type="pct"/>
            <w:vAlign w:val="center"/>
          </w:tcPr>
          <w:p>
            <w:pPr>
              <w:spacing w:line="276" w:lineRule="auto"/>
              <w:rPr>
                <w:rFonts w:eastAsiaTheme="minorEastAsia"/>
                <w:color w:val="auto"/>
              </w:rPr>
            </w:pPr>
            <w:r>
              <w:rPr>
                <w:rFonts w:hint="eastAsia" w:cs="Calibri"/>
                <w:color w:val="auto"/>
              </w:rPr>
              <w:t>支持设备在线状态监测机制，实现对包括主控引擎，背板，CPU和存储等关键元器件进行检测。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pct"/>
            <w:vAlign w:val="center"/>
          </w:tcPr>
          <w:p>
            <w:pPr>
              <w:spacing w:line="276" w:lineRule="auto"/>
              <w:rPr>
                <w:color w:val="auto"/>
              </w:rPr>
            </w:pPr>
            <w:r>
              <w:rPr>
                <w:rFonts w:hint="eastAsia"/>
                <w:color w:val="auto"/>
              </w:rPr>
              <w:t>★成熟度</w:t>
            </w:r>
          </w:p>
        </w:tc>
        <w:tc>
          <w:tcPr>
            <w:tcW w:w="4131" w:type="pct"/>
            <w:vAlign w:val="center"/>
          </w:tcPr>
          <w:p>
            <w:pPr>
              <w:spacing w:line="276" w:lineRule="auto"/>
              <w:rPr>
                <w:rFonts w:cs="Calibri"/>
                <w:color w:val="auto"/>
              </w:rPr>
            </w:pPr>
            <w:r>
              <w:rPr>
                <w:rFonts w:hint="eastAsia"/>
                <w:color w:val="auto"/>
              </w:rPr>
              <w:t>具备工信部《电信设备进网许可证》。（提供复印件）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8" w:type="pct"/>
            <w:vAlign w:val="center"/>
          </w:tcPr>
          <w:p>
            <w:pPr>
              <w:spacing w:line="276" w:lineRule="auto"/>
              <w:rPr>
                <w:color w:val="auto"/>
              </w:rPr>
            </w:pPr>
            <w:r>
              <w:rPr>
                <w:rFonts w:hint="eastAsia"/>
                <w:color w:val="auto"/>
              </w:rPr>
              <w:t>★板卡配置</w:t>
            </w:r>
          </w:p>
        </w:tc>
        <w:tc>
          <w:tcPr>
            <w:tcW w:w="4131" w:type="pct"/>
            <w:vAlign w:val="center"/>
          </w:tcPr>
          <w:p>
            <w:pPr>
              <w:spacing w:line="276" w:lineRule="auto"/>
              <w:rPr>
                <w:rFonts w:cs="Calibri"/>
                <w:color w:val="auto"/>
              </w:rPr>
            </w:pPr>
            <w:r>
              <w:rPr>
                <w:color w:val="auto"/>
              </w:rPr>
              <w:t>每台支持≥96个千兆电口，≥96个万兆光口；每台实配≥96个千兆电口模</w:t>
            </w:r>
            <w:bookmarkStart w:id="304" w:name="_GoBack"/>
            <w:bookmarkEnd w:id="304"/>
            <w:r>
              <w:rPr>
                <w:color w:val="auto"/>
              </w:rPr>
              <w:t>块，≥24个万兆光口模块，≥48千兆单模光口模块，≥24个千兆多模光口模块。</w:t>
            </w:r>
          </w:p>
        </w:tc>
      </w:tr>
    </w:tbl>
    <w:p>
      <w:pPr>
        <w:spacing w:line="360" w:lineRule="auto"/>
        <w:rPr>
          <w:rFonts w:ascii="宋体" w:hAnsi="宋体"/>
          <w:color w:val="auto"/>
          <w:sz w:val="24"/>
        </w:rPr>
      </w:pPr>
      <w:r>
        <w:rPr>
          <w:rFonts w:hint="eastAsia" w:ascii="宋体" w:hAnsi="宋体"/>
          <w:color w:val="auto"/>
          <w:sz w:val="24"/>
        </w:rPr>
        <w:t xml:space="preserve">二、报价要求 </w:t>
      </w:r>
    </w:p>
    <w:p>
      <w:pPr>
        <w:spacing w:line="360" w:lineRule="auto"/>
        <w:ind w:firstLine="480" w:firstLineChars="200"/>
        <w:rPr>
          <w:rFonts w:ascii="宋体" w:hAnsi="宋体"/>
          <w:color w:val="auto"/>
          <w:sz w:val="24"/>
        </w:rPr>
      </w:pPr>
      <w:r>
        <w:rPr>
          <w:rFonts w:hint="eastAsia" w:ascii="宋体" w:hAnsi="宋体"/>
          <w:color w:val="auto"/>
          <w:sz w:val="24"/>
        </w:rPr>
        <w:t xml:space="preserve">1、报价表中标明的价格采用“总价包干”的方式，包含包装、运输、装卸、安装、调试技术、指导、培训、咨询、服务、检测、保险、商检一切手续费、以及技术服务和售后服务等其他各项有关费用。 </w:t>
      </w:r>
    </w:p>
    <w:p>
      <w:pPr>
        <w:spacing w:line="360" w:lineRule="auto"/>
        <w:ind w:firstLine="480" w:firstLineChars="200"/>
        <w:rPr>
          <w:rFonts w:ascii="宋体" w:hAnsi="宋体"/>
          <w:color w:val="auto"/>
          <w:sz w:val="24"/>
        </w:rPr>
      </w:pPr>
      <w:r>
        <w:rPr>
          <w:rFonts w:hint="eastAsia" w:ascii="宋体" w:hAnsi="宋体"/>
          <w:color w:val="auto"/>
          <w:sz w:val="24"/>
        </w:rPr>
        <w:t xml:space="preserve">供应商应充分考虑各类材料的市场风险和国家政策性调价的风险，一经成交后，供应商均不能对报价作任何调整。 </w:t>
      </w:r>
    </w:p>
    <w:p>
      <w:pPr>
        <w:spacing w:line="360" w:lineRule="auto"/>
        <w:ind w:firstLine="480" w:firstLineChars="200"/>
        <w:rPr>
          <w:rFonts w:ascii="宋体" w:hAnsi="宋体"/>
          <w:color w:val="auto"/>
          <w:sz w:val="24"/>
        </w:rPr>
      </w:pPr>
      <w:r>
        <w:rPr>
          <w:rFonts w:hint="eastAsia" w:ascii="宋体" w:hAnsi="宋体"/>
          <w:color w:val="auto"/>
          <w:sz w:val="24"/>
        </w:rPr>
        <w:t xml:space="preserve">2、对本文件未列明，而供应商认为必需的费用也需列入磋商总报价。在合同实施时，采购人将不予支付成交供应商没有列入的项目费用，并认为此项目的费用已包含在磋商总报价中。 </w:t>
      </w:r>
    </w:p>
    <w:p>
      <w:pPr>
        <w:spacing w:line="360" w:lineRule="auto"/>
        <w:ind w:firstLine="480" w:firstLineChars="200"/>
        <w:rPr>
          <w:rFonts w:ascii="宋体" w:hAnsi="宋体"/>
          <w:color w:val="auto"/>
          <w:sz w:val="24"/>
        </w:rPr>
      </w:pPr>
      <w:r>
        <w:rPr>
          <w:rFonts w:hint="eastAsia" w:ascii="宋体" w:hAnsi="宋体"/>
          <w:color w:val="auto"/>
          <w:sz w:val="24"/>
        </w:rPr>
        <w:t>三、其他</w:t>
      </w:r>
    </w:p>
    <w:p>
      <w:pPr>
        <w:spacing w:line="360" w:lineRule="auto"/>
        <w:ind w:firstLine="480" w:firstLineChars="200"/>
        <w:rPr>
          <w:rFonts w:ascii="宋体" w:hAnsi="宋体"/>
          <w:color w:val="auto"/>
          <w:sz w:val="24"/>
        </w:rPr>
      </w:pPr>
      <w:r>
        <w:rPr>
          <w:rFonts w:hint="eastAsia" w:ascii="宋体" w:hAnsi="宋体"/>
          <w:color w:val="auto"/>
          <w:sz w:val="24"/>
        </w:rPr>
        <w:t xml:space="preserve">1、供应商应注意磋商文件的技术规格中指出的工艺、材料和设备的标准以及参照的品牌或型号仅起说明作用，并没有任何限制性。供应商在响应中可以选用替代标准、品牌或型号，但这些替代要实质上满足或超过磋商文件的要求。 </w:t>
      </w:r>
    </w:p>
    <w:p>
      <w:pPr>
        <w:spacing w:line="360" w:lineRule="auto"/>
        <w:ind w:firstLine="480" w:firstLineChars="200"/>
        <w:rPr>
          <w:rFonts w:ascii="宋体" w:hAnsi="宋体"/>
          <w:color w:val="auto"/>
          <w:sz w:val="24"/>
        </w:rPr>
      </w:pPr>
      <w:r>
        <w:rPr>
          <w:rFonts w:hint="eastAsia" w:ascii="宋体" w:hAnsi="宋体"/>
          <w:color w:val="auto"/>
          <w:sz w:val="24"/>
        </w:rPr>
        <w:t xml:space="preserve">2、供应商所提供的货物必须是全新、未使用的原装产品。货物上应钉有名牌(内容包括：制造商、货物名称、型号规格、出厂日期等)并附有产品质量检验合格标志。 </w:t>
      </w:r>
    </w:p>
    <w:p>
      <w:pPr>
        <w:spacing w:line="360" w:lineRule="auto"/>
        <w:ind w:firstLine="480" w:firstLineChars="200"/>
        <w:rPr>
          <w:rFonts w:ascii="宋体" w:hAnsi="宋体"/>
          <w:color w:val="auto"/>
          <w:sz w:val="24"/>
        </w:rPr>
      </w:pPr>
      <w:r>
        <w:rPr>
          <w:rFonts w:hint="eastAsia" w:ascii="宋体" w:hAnsi="宋体"/>
          <w:color w:val="auto"/>
          <w:sz w:val="24"/>
        </w:rPr>
        <w:t xml:space="preserve">3、供应商或制造商设有所投货物品牌固定的售后维修服务机构，各售后维修服务机构应拥有良好和稳定的售后服务体系，为采购人提供良好的售后服务。如因成交供应商售后服务不及时而造成损失，成交供应商必须承担由此产生的一切费用； </w:t>
      </w:r>
    </w:p>
    <w:p>
      <w:pPr>
        <w:spacing w:line="360" w:lineRule="auto"/>
        <w:ind w:firstLine="480" w:firstLineChars="200"/>
        <w:rPr>
          <w:rFonts w:ascii="宋体" w:hAnsi="宋体"/>
          <w:color w:val="auto"/>
          <w:sz w:val="24"/>
        </w:rPr>
      </w:pPr>
      <w:r>
        <w:rPr>
          <w:rFonts w:hint="eastAsia" w:ascii="宋体" w:hAnsi="宋体"/>
          <w:color w:val="auto"/>
          <w:sz w:val="24"/>
        </w:rPr>
        <w:t xml:space="preserve">4、成交供应商应提供货物运至项目现场所需要的包装，以防止设备在运输中损坏或丢失。这类包装应采取防潮、防晒、防锈、防腐蚀、防震动等保护措施，使设备能够经受长途运输及多次搬运、装卸等。若供应商提交的货物存在包装的，须符合财库办（2020）123号文的相关规定。采购人在验收环节可对此进行检查。 </w:t>
      </w:r>
    </w:p>
    <w:p>
      <w:pPr>
        <w:spacing w:line="360" w:lineRule="auto"/>
        <w:ind w:firstLine="480" w:firstLineChars="200"/>
        <w:rPr>
          <w:rFonts w:ascii="宋体" w:hAnsi="宋体"/>
          <w:color w:val="auto"/>
          <w:sz w:val="24"/>
        </w:rPr>
      </w:pPr>
      <w:r>
        <w:rPr>
          <w:rFonts w:hint="eastAsia" w:ascii="宋体" w:hAnsi="宋体"/>
          <w:color w:val="auto"/>
          <w:sz w:val="24"/>
        </w:rPr>
        <w:t>5、供应商在磋商及成交后，发生侵犯专利权的行为时，其侵权责任与采购人无关，应由成交供应商承担相应的责任，并不得影响采购人的利益。</w:t>
      </w:r>
    </w:p>
    <w:p>
      <w:pPr>
        <w:spacing w:line="360" w:lineRule="auto"/>
        <w:ind w:firstLine="480" w:firstLineChars="200"/>
        <w:rPr>
          <w:rFonts w:ascii="宋体" w:hAnsi="宋体"/>
          <w:color w:val="auto"/>
          <w:sz w:val="24"/>
        </w:rPr>
      </w:pPr>
      <w:r>
        <w:rPr>
          <w:rFonts w:hint="eastAsia" w:ascii="宋体" w:hAnsi="宋体"/>
          <w:color w:val="auto"/>
          <w:sz w:val="24"/>
        </w:rPr>
        <w:t>6、供应商应投入具备相应资格的项目经理及项目团队人员全程实施。</w:t>
      </w:r>
    </w:p>
    <w:p>
      <w:pPr>
        <w:spacing w:line="360" w:lineRule="auto"/>
        <w:rPr>
          <w:rFonts w:ascii="宋体" w:hAnsi="宋体"/>
          <w:color w:val="auto"/>
          <w:sz w:val="24"/>
        </w:rPr>
      </w:pPr>
      <w:r>
        <w:rPr>
          <w:rFonts w:hint="eastAsia" w:ascii="宋体" w:hAnsi="宋体"/>
          <w:color w:val="auto"/>
          <w:sz w:val="24"/>
        </w:rPr>
        <w:t>四、验收</w:t>
      </w:r>
    </w:p>
    <w:p>
      <w:pPr>
        <w:spacing w:line="360" w:lineRule="auto"/>
        <w:ind w:firstLine="480" w:firstLineChars="200"/>
        <w:rPr>
          <w:rFonts w:ascii="宋体" w:hAnsi="宋体"/>
          <w:color w:val="auto"/>
          <w:sz w:val="24"/>
        </w:rPr>
      </w:pPr>
      <w:r>
        <w:rPr>
          <w:rFonts w:hint="eastAsia" w:ascii="宋体" w:hAnsi="宋体"/>
          <w:color w:val="auto"/>
          <w:sz w:val="24"/>
        </w:rPr>
        <w:t>验收标准：</w:t>
      </w:r>
    </w:p>
    <w:p>
      <w:pPr>
        <w:spacing w:line="360" w:lineRule="auto"/>
        <w:ind w:firstLine="480" w:firstLineChars="200"/>
        <w:rPr>
          <w:rFonts w:ascii="宋体" w:hAnsi="宋体"/>
          <w:color w:val="auto"/>
          <w:sz w:val="24"/>
        </w:rPr>
      </w:pPr>
      <w:r>
        <w:rPr>
          <w:rFonts w:hint="eastAsia" w:ascii="宋体" w:hAnsi="宋体"/>
          <w:color w:val="auto"/>
          <w:sz w:val="24"/>
        </w:rPr>
        <w:t>①按照《信息化项目相关工作环节指南》相关要求，对试运行设备进行验收，验收合格后，甲乙双方签署《华中农业大学与汉口银行银校合作信息化建设项目验收报告》。</w:t>
      </w:r>
    </w:p>
    <w:p>
      <w:pPr>
        <w:spacing w:line="360" w:lineRule="auto"/>
        <w:ind w:firstLine="480" w:firstLineChars="200"/>
        <w:rPr>
          <w:rFonts w:ascii="宋体" w:hAnsi="宋体"/>
          <w:color w:val="auto"/>
          <w:sz w:val="24"/>
        </w:rPr>
      </w:pPr>
      <w:r>
        <w:rPr>
          <w:rFonts w:hint="eastAsia" w:ascii="宋体" w:hAnsi="宋体"/>
          <w:color w:val="auto"/>
          <w:sz w:val="24"/>
        </w:rPr>
        <w:t>②到货验收：以磋商文件、响应报价文件、合同和产品技术说明为依据进行到货验收，保证设备和材料的品牌、规格型号、技术参数、数量完全相符。</w:t>
      </w:r>
    </w:p>
    <w:p>
      <w:pPr>
        <w:spacing w:line="360" w:lineRule="auto"/>
        <w:ind w:firstLine="480" w:firstLineChars="200"/>
        <w:rPr>
          <w:rFonts w:ascii="宋体" w:hAnsi="宋体"/>
          <w:color w:val="auto"/>
          <w:sz w:val="24"/>
        </w:rPr>
      </w:pPr>
      <w:r>
        <w:rPr>
          <w:rFonts w:hint="eastAsia" w:ascii="宋体" w:hAnsi="宋体"/>
          <w:color w:val="auto"/>
          <w:sz w:val="24"/>
        </w:rPr>
        <w:t>③技术预验收：根据安装、调试、试运行情况，对照合同规定的技术指标逐条进行预验收，确保系统各项功能符合要求。</w:t>
      </w:r>
    </w:p>
    <w:p>
      <w:pPr>
        <w:spacing w:line="360" w:lineRule="auto"/>
        <w:ind w:firstLine="480" w:firstLineChars="200"/>
        <w:rPr>
          <w:rFonts w:ascii="宋体" w:hAnsi="宋体"/>
          <w:color w:val="auto"/>
          <w:sz w:val="24"/>
        </w:rPr>
      </w:pPr>
      <w:r>
        <w:rPr>
          <w:rFonts w:hint="eastAsia" w:ascii="宋体" w:hAnsi="宋体"/>
          <w:color w:val="auto"/>
          <w:sz w:val="24"/>
        </w:rPr>
        <w:t>④初验：投入使用前5个工作日内由采购人与供应商共同组织初验。</w:t>
      </w:r>
    </w:p>
    <w:p>
      <w:pPr>
        <w:spacing w:line="360" w:lineRule="auto"/>
        <w:ind w:firstLine="480" w:firstLineChars="200"/>
        <w:rPr>
          <w:rFonts w:ascii="宋体" w:hAnsi="宋体"/>
          <w:color w:val="auto"/>
          <w:sz w:val="24"/>
        </w:rPr>
      </w:pPr>
      <w:r>
        <w:rPr>
          <w:rFonts w:hint="eastAsia" w:ascii="宋体" w:hAnsi="宋体"/>
          <w:color w:val="auto"/>
          <w:sz w:val="24"/>
        </w:rPr>
        <w:t>⑤正式技术验收：设备稳定运行至少14天后，15个工作日内由采购人与供应商共同组织正式技术验收，办理相关验收手续。</w:t>
      </w:r>
      <w:r>
        <w:rPr>
          <w:rFonts w:hint="eastAsia" w:ascii="宋体" w:hAnsi="宋体"/>
          <w:color w:val="auto"/>
          <w:sz w:val="24"/>
        </w:rPr>
        <w:br w:type="page"/>
      </w:r>
    </w:p>
    <w:bookmarkEnd w:id="176"/>
    <w:p>
      <w:pPr>
        <w:snapToGrid w:val="0"/>
        <w:spacing w:after="156" w:afterLines="50"/>
        <w:jc w:val="center"/>
        <w:outlineLvl w:val="0"/>
        <w:rPr>
          <w:rFonts w:ascii="宋体" w:hAnsi="宋体" w:cs="宋体"/>
          <w:b/>
          <w:bCs/>
          <w:color w:val="auto"/>
          <w:sz w:val="32"/>
          <w:szCs w:val="32"/>
        </w:rPr>
      </w:pPr>
      <w:bookmarkStart w:id="177" w:name="_Toc10970"/>
      <w:r>
        <w:rPr>
          <w:rFonts w:hint="eastAsia" w:ascii="宋体" w:hAnsi="宋体" w:cs="宋体"/>
          <w:b/>
          <w:bCs/>
          <w:color w:val="auto"/>
          <w:sz w:val="32"/>
          <w:szCs w:val="32"/>
        </w:rPr>
        <w:t>第六章 响应文件格式</w:t>
      </w:r>
      <w:bookmarkEnd w:id="177"/>
    </w:p>
    <w:p>
      <w:pPr>
        <w:snapToGrid w:val="0"/>
        <w:spacing w:after="156" w:afterLines="50"/>
        <w:rPr>
          <w:rFonts w:ascii="宋体" w:hAnsi="宋体" w:cs="宋体"/>
          <w:color w:val="auto"/>
        </w:rPr>
      </w:pPr>
    </w:p>
    <w:p>
      <w:pPr>
        <w:spacing w:line="360" w:lineRule="auto"/>
        <w:jc w:val="center"/>
        <w:outlineLvl w:val="1"/>
        <w:rPr>
          <w:rFonts w:ascii="宋体" w:hAnsi="宋体" w:cs="宋体"/>
          <w:b/>
          <w:color w:val="auto"/>
          <w:sz w:val="30"/>
          <w:szCs w:val="30"/>
        </w:rPr>
      </w:pPr>
      <w:bookmarkStart w:id="178" w:name="_Toc414445763"/>
      <w:bookmarkStart w:id="179" w:name="_Toc11321"/>
      <w:bookmarkStart w:id="180" w:name="_Toc298458725"/>
      <w:bookmarkStart w:id="181" w:name="_Toc6246"/>
      <w:bookmarkStart w:id="182" w:name="_Toc298434671"/>
      <w:bookmarkStart w:id="183" w:name="_Toc410631171"/>
      <w:bookmarkStart w:id="184" w:name="_Toc416103813"/>
      <w:bookmarkStart w:id="185" w:name="_Toc298434528"/>
      <w:bookmarkStart w:id="186" w:name="_Toc298745568"/>
      <w:bookmarkStart w:id="187" w:name="_Toc332094984"/>
      <w:bookmarkStart w:id="188" w:name="_Toc350418253"/>
      <w:bookmarkStart w:id="189" w:name="_Toc2190"/>
      <w:bookmarkStart w:id="190" w:name="_Toc327276295"/>
      <w:bookmarkStart w:id="191" w:name="_Toc298745650"/>
      <w:bookmarkStart w:id="192" w:name="_Toc23024"/>
      <w:r>
        <w:rPr>
          <w:rFonts w:hint="eastAsia" w:ascii="宋体" w:hAnsi="宋体" w:cs="宋体"/>
          <w:b/>
          <w:color w:val="auto"/>
          <w:sz w:val="30"/>
          <w:szCs w:val="30"/>
        </w:rPr>
        <w:t>评审索引</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tbl>
      <w:tblPr>
        <w:tblStyle w:val="74"/>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5"/>
        <w:gridCol w:w="1722"/>
        <w:gridCol w:w="453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r>
              <w:rPr>
                <w:rFonts w:hint="eastAsia" w:ascii="宋体" w:hAnsi="宋体" w:cs="宋体"/>
                <w:color w:val="auto"/>
                <w:szCs w:val="21"/>
              </w:rPr>
              <w:t>序号</w:t>
            </w:r>
          </w:p>
        </w:tc>
        <w:tc>
          <w:tcPr>
            <w:tcW w:w="17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r>
              <w:rPr>
                <w:rFonts w:hint="eastAsia" w:ascii="宋体" w:hAnsi="宋体" w:cs="宋体"/>
                <w:color w:val="auto"/>
                <w:szCs w:val="21"/>
              </w:rPr>
              <w:t>评审办法条款号</w:t>
            </w: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r>
              <w:rPr>
                <w:rFonts w:hint="eastAsia" w:ascii="宋体" w:hAnsi="宋体" w:cs="宋体"/>
                <w:color w:val="auto"/>
                <w:szCs w:val="21"/>
              </w:rPr>
              <w:t>评标办法要求</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r>
              <w:rPr>
                <w:rFonts w:hint="eastAsia" w:ascii="宋体" w:hAnsi="宋体" w:cs="宋体"/>
                <w:color w:val="auto"/>
                <w:szCs w:val="21"/>
              </w:rPr>
              <w:t>响应文件对应内容的册及页码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r>
              <w:rPr>
                <w:rFonts w:hint="eastAsia" w:ascii="宋体" w:hAnsi="宋体" w:cs="宋体"/>
                <w:color w:val="auto"/>
                <w:szCs w:val="21"/>
              </w:rPr>
              <w:t>一</w:t>
            </w:r>
          </w:p>
        </w:tc>
        <w:tc>
          <w:tcPr>
            <w:tcW w:w="17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r>
              <w:rPr>
                <w:rFonts w:hint="eastAsia" w:ascii="宋体" w:hAnsi="宋体" w:cs="宋体"/>
                <w:color w:val="auto"/>
                <w:szCs w:val="21"/>
              </w:rPr>
              <w:t>资格审查</w:t>
            </w: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r>
              <w:rPr>
                <w:rFonts w:hint="eastAsia" w:ascii="宋体" w:hAnsi="宋体" w:cs="宋体"/>
                <w:color w:val="auto"/>
                <w:szCs w:val="21"/>
              </w:rPr>
              <w:t>1</w:t>
            </w:r>
          </w:p>
        </w:tc>
        <w:tc>
          <w:tcPr>
            <w:tcW w:w="17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r>
              <w:rPr>
                <w:rFonts w:hint="eastAsia" w:ascii="宋体" w:hAnsi="宋体" w:cs="宋体"/>
                <w:color w:val="auto"/>
                <w:szCs w:val="21"/>
              </w:rPr>
              <w:t>2</w:t>
            </w:r>
          </w:p>
        </w:tc>
        <w:tc>
          <w:tcPr>
            <w:tcW w:w="17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r>
              <w:rPr>
                <w:rFonts w:hint="eastAsia" w:ascii="宋体" w:hAnsi="宋体" w:cs="宋体"/>
                <w:color w:val="auto"/>
                <w:szCs w:val="21"/>
              </w:rPr>
              <w:t>...</w:t>
            </w:r>
          </w:p>
        </w:tc>
        <w:tc>
          <w:tcPr>
            <w:tcW w:w="17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r>
              <w:rPr>
                <w:rFonts w:hint="eastAsia" w:ascii="宋体" w:hAnsi="宋体" w:cs="宋体"/>
                <w:color w:val="auto"/>
                <w:szCs w:val="21"/>
              </w:rPr>
              <w:t>二</w:t>
            </w:r>
          </w:p>
        </w:tc>
        <w:tc>
          <w:tcPr>
            <w:tcW w:w="17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r>
              <w:rPr>
                <w:rFonts w:hint="eastAsia" w:ascii="宋体" w:hAnsi="宋体" w:cs="宋体"/>
                <w:color w:val="auto"/>
                <w:szCs w:val="21"/>
              </w:rPr>
              <w:t>符合性审查</w:t>
            </w: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r>
              <w:rPr>
                <w:rFonts w:hint="eastAsia" w:ascii="宋体" w:hAnsi="宋体" w:cs="宋体"/>
                <w:color w:val="auto"/>
                <w:szCs w:val="21"/>
              </w:rPr>
              <w:t>1</w:t>
            </w:r>
          </w:p>
        </w:tc>
        <w:tc>
          <w:tcPr>
            <w:tcW w:w="17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r>
              <w:rPr>
                <w:rFonts w:hint="eastAsia" w:ascii="宋体" w:hAnsi="宋体" w:cs="宋体"/>
                <w:color w:val="auto"/>
                <w:szCs w:val="21"/>
              </w:rPr>
              <w:t>2</w:t>
            </w:r>
          </w:p>
        </w:tc>
        <w:tc>
          <w:tcPr>
            <w:tcW w:w="17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r>
              <w:rPr>
                <w:rFonts w:hint="eastAsia" w:ascii="宋体" w:hAnsi="宋体" w:cs="宋体"/>
                <w:color w:val="auto"/>
                <w:szCs w:val="21"/>
              </w:rPr>
              <w:t>...</w:t>
            </w:r>
          </w:p>
        </w:tc>
        <w:tc>
          <w:tcPr>
            <w:tcW w:w="17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r>
              <w:rPr>
                <w:rFonts w:hint="eastAsia" w:ascii="宋体" w:hAnsi="宋体" w:cs="宋体"/>
                <w:color w:val="auto"/>
                <w:szCs w:val="21"/>
              </w:rPr>
              <w:t>三</w:t>
            </w:r>
          </w:p>
        </w:tc>
        <w:tc>
          <w:tcPr>
            <w:tcW w:w="17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rPr>
            </w:pPr>
            <w:r>
              <w:rPr>
                <w:rFonts w:hint="eastAsia" w:ascii="宋体" w:hAnsi="宋体" w:cs="宋体"/>
                <w:color w:val="auto"/>
              </w:rPr>
              <w:t>详细评分</w:t>
            </w: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r>
              <w:rPr>
                <w:rFonts w:hint="eastAsia" w:ascii="宋体" w:hAnsi="宋体" w:cs="宋体"/>
                <w:color w:val="auto"/>
                <w:szCs w:val="21"/>
              </w:rPr>
              <w:t>1</w:t>
            </w:r>
          </w:p>
        </w:tc>
        <w:tc>
          <w:tcPr>
            <w:tcW w:w="17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rPr>
            </w:pP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r>
              <w:rPr>
                <w:rFonts w:hint="eastAsia" w:ascii="宋体" w:hAnsi="宋体" w:cs="宋体"/>
                <w:color w:val="auto"/>
                <w:szCs w:val="21"/>
              </w:rPr>
              <w:t>2</w:t>
            </w:r>
          </w:p>
        </w:tc>
        <w:tc>
          <w:tcPr>
            <w:tcW w:w="17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rPr>
            </w:pP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r>
              <w:rPr>
                <w:rFonts w:hint="eastAsia" w:ascii="宋体" w:hAnsi="宋体" w:cs="宋体"/>
                <w:color w:val="auto"/>
                <w:szCs w:val="21"/>
              </w:rPr>
              <w:t>...</w:t>
            </w:r>
          </w:p>
        </w:tc>
        <w:tc>
          <w:tcPr>
            <w:tcW w:w="17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rPr>
            </w:pP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ind w:firstLine="480"/>
              <w:jc w:val="center"/>
              <w:rPr>
                <w:rFonts w:ascii="宋体" w:hAnsi="宋体" w:cs="宋体"/>
                <w:color w:val="auto"/>
                <w:szCs w:val="21"/>
              </w:rPr>
            </w:pPr>
          </w:p>
        </w:tc>
      </w:tr>
    </w:tbl>
    <w:p>
      <w:pPr>
        <w:spacing w:line="360" w:lineRule="auto"/>
        <w:ind w:firstLine="480"/>
        <w:jc w:val="left"/>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注：该评标索引表格放在响应文件目录后，正文的第一页。</w:t>
      </w:r>
    </w:p>
    <w:p>
      <w:pPr>
        <w:rPr>
          <w:rFonts w:ascii="宋体" w:hAnsi="宋体" w:cs="宋体"/>
          <w:color w:val="auto"/>
          <w:szCs w:val="21"/>
        </w:rPr>
      </w:pPr>
    </w:p>
    <w:p>
      <w:pPr>
        <w:widowControl/>
        <w:jc w:val="left"/>
        <w:rPr>
          <w:rFonts w:ascii="宋体" w:hAnsi="宋体" w:cs="宋体"/>
          <w:color w:val="auto"/>
          <w:szCs w:val="21"/>
        </w:rPr>
      </w:pPr>
      <w:r>
        <w:rPr>
          <w:rFonts w:hint="eastAsia" w:ascii="宋体" w:hAnsi="宋体" w:cs="宋体"/>
          <w:color w:val="auto"/>
          <w:szCs w:val="21"/>
        </w:rPr>
        <w:br w:type="page"/>
      </w:r>
    </w:p>
    <w:p>
      <w:pPr>
        <w:pStyle w:val="281"/>
        <w:numPr>
          <w:ilvl w:val="0"/>
          <w:numId w:val="15"/>
        </w:numPr>
        <w:spacing w:line="360" w:lineRule="auto"/>
        <w:ind w:left="1276" w:hanging="1276" w:firstLineChars="0"/>
        <w:outlineLvl w:val="1"/>
        <w:rPr>
          <w:rFonts w:ascii="宋体" w:hAnsi="宋体" w:cs="宋体"/>
          <w:b/>
          <w:color w:val="auto"/>
          <w:sz w:val="24"/>
        </w:rPr>
      </w:pPr>
      <w:bookmarkStart w:id="193" w:name="_A1_投标书"/>
      <w:bookmarkEnd w:id="193"/>
      <w:bookmarkStart w:id="194" w:name="_Toc11804"/>
      <w:bookmarkStart w:id="195" w:name="_Toc27738"/>
      <w:bookmarkStart w:id="196" w:name="_Toc181038076"/>
      <w:bookmarkStart w:id="197" w:name="_Toc162669084"/>
      <w:bookmarkStart w:id="198" w:name="_Toc128455956"/>
      <w:bookmarkStart w:id="199" w:name="_Toc176663528"/>
      <w:bookmarkStart w:id="200" w:name="_Toc192127127"/>
      <w:bookmarkStart w:id="201" w:name="_Toc179091096"/>
      <w:bookmarkStart w:id="202" w:name="_Toc192127128"/>
      <w:r>
        <w:rPr>
          <w:rFonts w:hint="eastAsia" w:ascii="宋体" w:hAnsi="宋体" w:cs="宋体"/>
          <w:b/>
          <w:color w:val="auto"/>
          <w:sz w:val="24"/>
        </w:rPr>
        <w:t>报价函及报价函附录</w:t>
      </w:r>
      <w:bookmarkEnd w:id="194"/>
      <w:bookmarkEnd w:id="195"/>
    </w:p>
    <w:bookmarkEnd w:id="196"/>
    <w:bookmarkEnd w:id="197"/>
    <w:bookmarkEnd w:id="198"/>
    <w:bookmarkEnd w:id="199"/>
    <w:bookmarkEnd w:id="200"/>
    <w:bookmarkEnd w:id="201"/>
    <w:p>
      <w:pPr>
        <w:autoSpaceDE w:val="0"/>
        <w:autoSpaceDN w:val="0"/>
        <w:adjustRightInd w:val="0"/>
        <w:jc w:val="center"/>
        <w:rPr>
          <w:rFonts w:ascii="宋体" w:hAnsi="宋体" w:cs="宋体"/>
          <w:color w:val="auto"/>
          <w:kern w:val="0"/>
          <w:sz w:val="24"/>
        </w:rPr>
      </w:pPr>
    </w:p>
    <w:p>
      <w:pPr>
        <w:autoSpaceDE w:val="0"/>
        <w:autoSpaceDN w:val="0"/>
        <w:adjustRightInd w:val="0"/>
        <w:spacing w:line="400" w:lineRule="exact"/>
        <w:jc w:val="center"/>
        <w:rPr>
          <w:rFonts w:ascii="宋体" w:hAnsi="宋体" w:cs="宋体"/>
          <w:color w:val="auto"/>
          <w:kern w:val="0"/>
          <w:szCs w:val="21"/>
        </w:rPr>
      </w:pPr>
      <w:r>
        <w:rPr>
          <w:rFonts w:hint="eastAsia" w:ascii="宋体" w:hAnsi="宋体" w:cs="宋体"/>
          <w:color w:val="auto"/>
          <w:kern w:val="0"/>
          <w:szCs w:val="21"/>
        </w:rPr>
        <w:t>报价函</w:t>
      </w:r>
    </w:p>
    <w:p>
      <w:pPr>
        <w:autoSpaceDE w:val="0"/>
        <w:autoSpaceDN w:val="0"/>
        <w:adjustRightInd w:val="0"/>
        <w:spacing w:line="400" w:lineRule="exact"/>
        <w:jc w:val="center"/>
        <w:rPr>
          <w:rFonts w:ascii="宋体" w:hAnsi="宋体" w:cs="宋体"/>
          <w:color w:val="auto"/>
          <w:kern w:val="0"/>
          <w:szCs w:val="21"/>
        </w:rPr>
      </w:pPr>
    </w:p>
    <w:p>
      <w:pPr>
        <w:autoSpaceDE w:val="0"/>
        <w:autoSpaceDN w:val="0"/>
        <w:adjustRightInd w:val="0"/>
        <w:spacing w:line="400" w:lineRule="exact"/>
        <w:jc w:val="center"/>
        <w:rPr>
          <w:rFonts w:ascii="宋体" w:hAnsi="宋体" w:cs="宋体"/>
          <w:color w:val="auto"/>
          <w:kern w:val="0"/>
          <w:szCs w:val="21"/>
        </w:rPr>
      </w:pPr>
    </w:p>
    <w:p>
      <w:pPr>
        <w:autoSpaceDE w:val="0"/>
        <w:autoSpaceDN w:val="0"/>
        <w:adjustRightInd w:val="0"/>
        <w:snapToGrid w:val="0"/>
        <w:spacing w:line="400" w:lineRule="exact"/>
        <w:jc w:val="left"/>
        <w:rPr>
          <w:rFonts w:ascii="宋体" w:hAnsi="宋体" w:cs="宋体"/>
          <w:color w:val="auto"/>
          <w:kern w:val="0"/>
          <w:szCs w:val="21"/>
        </w:rPr>
      </w:pPr>
      <w:r>
        <w:rPr>
          <w:rFonts w:hint="eastAsia" w:ascii="宋体" w:hAnsi="宋体" w:cs="宋体"/>
          <w:color w:val="auto"/>
          <w:kern w:val="0"/>
          <w:szCs w:val="21"/>
        </w:rPr>
        <w:t>（采购人名称）：</w:t>
      </w:r>
    </w:p>
    <w:p>
      <w:pPr>
        <w:autoSpaceDE w:val="0"/>
        <w:autoSpaceDN w:val="0"/>
        <w:adjustRightInd w:val="0"/>
        <w:snapToGri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1.我方已仔细研究了</w:t>
      </w:r>
      <w:r>
        <w:rPr>
          <w:rFonts w:hint="eastAsia" w:ascii="宋体" w:hAnsi="宋体" w:cs="宋体"/>
          <w:color w:val="auto"/>
          <w:kern w:val="0"/>
          <w:szCs w:val="21"/>
          <w:u w:val="single"/>
        </w:rPr>
        <w:t xml:space="preserve">  （项目名称）   </w:t>
      </w:r>
      <w:r>
        <w:rPr>
          <w:rFonts w:hint="eastAsia" w:ascii="宋体" w:hAnsi="宋体" w:cs="宋体"/>
          <w:color w:val="auto"/>
          <w:kern w:val="0"/>
          <w:szCs w:val="21"/>
        </w:rPr>
        <w:t>磋商文件（包括修改、澄清文件）的全部内容，且对磋商文件无任何异议，并愿意以“报价函附录”所填写的响应总价、服务期及服务地点，向你方</w:t>
      </w:r>
      <w:r>
        <w:rPr>
          <w:rFonts w:hint="eastAsia" w:ascii="宋体" w:hAnsi="宋体" w:cs="宋体"/>
          <w:color w:val="auto"/>
          <w:szCs w:val="21"/>
        </w:rPr>
        <w:t>提供磋商文件要求的服务</w:t>
      </w:r>
      <w:r>
        <w:rPr>
          <w:rFonts w:hint="eastAsia" w:ascii="宋体" w:hAnsi="宋体" w:cs="宋体"/>
          <w:color w:val="auto"/>
          <w:kern w:val="0"/>
          <w:szCs w:val="21"/>
        </w:rPr>
        <w:t>。</w:t>
      </w:r>
    </w:p>
    <w:p>
      <w:pPr>
        <w:autoSpaceDE w:val="0"/>
        <w:autoSpaceDN w:val="0"/>
        <w:adjustRightInd w:val="0"/>
        <w:snapToGri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2.我方承诺在响应文件有效期内不修改或撤销响应文件。否则，你方可不退还我方的磋商保证金。</w:t>
      </w:r>
    </w:p>
    <w:p>
      <w:pPr>
        <w:autoSpaceDE w:val="0"/>
        <w:autoSpaceDN w:val="0"/>
        <w:adjustRightInd w:val="0"/>
        <w:snapToGri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3.随同本报价函提交磋商保证金一份，金额见“报价函附录”。</w:t>
      </w:r>
    </w:p>
    <w:p>
      <w:pPr>
        <w:autoSpaceDE w:val="0"/>
        <w:autoSpaceDN w:val="0"/>
        <w:adjustRightInd w:val="0"/>
        <w:snapToGri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4.本响应文件有效期为自递交响应文件截止之日起个</w:t>
      </w:r>
      <w:r>
        <w:rPr>
          <w:rFonts w:hint="eastAsia" w:ascii="宋体" w:hAnsi="宋体" w:cs="宋体"/>
          <w:color w:val="auto"/>
          <w:kern w:val="0"/>
          <w:szCs w:val="21"/>
          <w:u w:val="single"/>
        </w:rPr>
        <w:t xml:space="preserve"> 90 </w:t>
      </w:r>
      <w:r>
        <w:rPr>
          <w:rFonts w:hint="eastAsia" w:ascii="宋体" w:hAnsi="宋体" w:cs="宋体"/>
          <w:color w:val="auto"/>
          <w:kern w:val="0"/>
          <w:szCs w:val="21"/>
        </w:rPr>
        <w:t>日历日。</w:t>
      </w:r>
    </w:p>
    <w:p>
      <w:pPr>
        <w:autoSpaceDE w:val="0"/>
        <w:autoSpaceDN w:val="0"/>
        <w:adjustRightInd w:val="0"/>
        <w:snapToGri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我方承诺所提交的响应文件及有关资料是完整的、真实的和准确的，否则，我方承担由此造成的任何损失及引起的任何后果。若我方已经收到成交通知书，我方将无条件的承认该成交通知书无效，对采购人不具有任何法律约束力。</w:t>
      </w:r>
    </w:p>
    <w:p>
      <w:pPr>
        <w:autoSpaceDE w:val="0"/>
        <w:autoSpaceDN w:val="0"/>
        <w:adjustRightInd w:val="0"/>
        <w:snapToGri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6．如我方成交：</w:t>
      </w:r>
    </w:p>
    <w:p>
      <w:pPr>
        <w:autoSpaceDE w:val="0"/>
        <w:autoSpaceDN w:val="0"/>
        <w:adjustRightInd w:val="0"/>
        <w:snapToGrid w:val="0"/>
        <w:spacing w:line="400" w:lineRule="exact"/>
        <w:ind w:left="359" w:leftChars="171"/>
        <w:jc w:val="left"/>
        <w:rPr>
          <w:rFonts w:ascii="宋体" w:hAnsi="宋体" w:cs="宋体"/>
          <w:color w:val="auto"/>
          <w:kern w:val="0"/>
          <w:szCs w:val="21"/>
        </w:rPr>
      </w:pPr>
      <w:r>
        <w:rPr>
          <w:rFonts w:hint="eastAsia" w:ascii="宋体" w:hAnsi="宋体" w:cs="宋体"/>
          <w:color w:val="auto"/>
          <w:kern w:val="0"/>
          <w:szCs w:val="21"/>
        </w:rPr>
        <w:t>（1）我方承诺在收到成交通知书后，在成交通知书规定的期限内与你方签订合同。</w:t>
      </w:r>
    </w:p>
    <w:p>
      <w:pPr>
        <w:autoSpaceDE w:val="0"/>
        <w:autoSpaceDN w:val="0"/>
        <w:adjustRightInd w:val="0"/>
        <w:snapToGrid w:val="0"/>
        <w:spacing w:line="400" w:lineRule="exact"/>
        <w:ind w:left="359" w:leftChars="171"/>
        <w:jc w:val="left"/>
        <w:rPr>
          <w:rFonts w:ascii="宋体" w:hAnsi="宋体" w:cs="宋体"/>
          <w:color w:val="auto"/>
          <w:kern w:val="0"/>
          <w:szCs w:val="21"/>
        </w:rPr>
      </w:pPr>
      <w:r>
        <w:rPr>
          <w:rFonts w:hint="eastAsia" w:ascii="宋体" w:hAnsi="宋体" w:cs="宋体"/>
          <w:color w:val="auto"/>
          <w:kern w:val="0"/>
          <w:szCs w:val="21"/>
        </w:rPr>
        <w:t>（2）我方承诺按照磋商文件规定向你方递交履约保证金。作为履行合同的担保。</w:t>
      </w:r>
    </w:p>
    <w:p>
      <w:pPr>
        <w:autoSpaceDE w:val="0"/>
        <w:autoSpaceDN w:val="0"/>
        <w:adjustRightInd w:val="0"/>
        <w:snapToGrid w:val="0"/>
        <w:spacing w:line="400" w:lineRule="exact"/>
        <w:ind w:left="359" w:leftChars="171"/>
        <w:jc w:val="left"/>
        <w:rPr>
          <w:rFonts w:ascii="宋体" w:hAnsi="宋体" w:cs="宋体"/>
          <w:color w:val="auto"/>
          <w:kern w:val="0"/>
          <w:szCs w:val="21"/>
        </w:rPr>
      </w:pPr>
      <w:r>
        <w:rPr>
          <w:rFonts w:hint="eastAsia" w:ascii="宋体" w:hAnsi="宋体" w:cs="宋体"/>
          <w:color w:val="auto"/>
          <w:kern w:val="0"/>
          <w:szCs w:val="21"/>
        </w:rPr>
        <w:t>（3）我方承诺按合同约定的期限和地点，提供符合招磋商文件要求的全部的服务。</w:t>
      </w:r>
    </w:p>
    <w:p>
      <w:pPr>
        <w:autoSpaceDE w:val="0"/>
        <w:autoSpaceDN w:val="0"/>
        <w:adjustRightInd w:val="0"/>
        <w:snapToGrid w:val="0"/>
        <w:spacing w:line="400" w:lineRule="exact"/>
        <w:ind w:left="359" w:leftChars="171"/>
        <w:jc w:val="left"/>
        <w:rPr>
          <w:rFonts w:ascii="宋体" w:hAnsi="宋体" w:cs="宋体"/>
          <w:color w:val="auto"/>
          <w:kern w:val="0"/>
          <w:szCs w:val="21"/>
        </w:rPr>
      </w:pPr>
      <w:r>
        <w:rPr>
          <w:rFonts w:hint="eastAsia" w:ascii="宋体" w:hAnsi="宋体" w:cs="宋体"/>
          <w:color w:val="auto"/>
          <w:kern w:val="0"/>
          <w:szCs w:val="21"/>
        </w:rPr>
        <w:t>（4）我方保证在</w:t>
      </w:r>
      <w:r>
        <w:rPr>
          <w:rFonts w:hint="eastAsia" w:ascii="宋体" w:hAnsi="宋体" w:cs="宋体"/>
          <w:color w:val="auto"/>
        </w:rPr>
        <w:t>收到缴费通知书时</w:t>
      </w:r>
      <w:r>
        <w:rPr>
          <w:rFonts w:hint="eastAsia" w:ascii="宋体" w:hAnsi="宋体" w:cs="宋体"/>
          <w:color w:val="auto"/>
          <w:kern w:val="0"/>
          <w:szCs w:val="21"/>
        </w:rPr>
        <w:t>及时按要求支付代理服务费。</w:t>
      </w:r>
    </w:p>
    <w:p>
      <w:pPr>
        <w:autoSpaceDE w:val="0"/>
        <w:autoSpaceDN w:val="0"/>
        <w:adjustRightInd w:val="0"/>
        <w:snapToGri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7.如磋商后的最后报价函与本报价函内容有差异，以最后的报价函内容为准。</w:t>
      </w:r>
    </w:p>
    <w:p>
      <w:pPr>
        <w:autoSpaceDE w:val="0"/>
        <w:autoSpaceDN w:val="0"/>
        <w:adjustRightInd w:val="0"/>
        <w:snapToGri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8．（其他补充说明）。</w:t>
      </w:r>
    </w:p>
    <w:p>
      <w:pPr>
        <w:autoSpaceDE w:val="0"/>
        <w:autoSpaceDN w:val="0"/>
        <w:adjustRightInd w:val="0"/>
        <w:snapToGrid w:val="0"/>
        <w:spacing w:line="400" w:lineRule="exact"/>
        <w:jc w:val="left"/>
        <w:rPr>
          <w:rFonts w:ascii="宋体" w:hAnsi="宋体" w:cs="宋体"/>
          <w:color w:val="auto"/>
          <w:kern w:val="0"/>
          <w:szCs w:val="21"/>
        </w:rPr>
      </w:pPr>
    </w:p>
    <w:p>
      <w:pPr>
        <w:autoSpaceDE w:val="0"/>
        <w:autoSpaceDN w:val="0"/>
        <w:adjustRightInd w:val="0"/>
        <w:snapToGrid w:val="0"/>
        <w:spacing w:line="400" w:lineRule="exact"/>
        <w:ind w:left="3780" w:leftChars="1800"/>
        <w:jc w:val="left"/>
        <w:rPr>
          <w:rFonts w:ascii="宋体" w:hAnsi="宋体" w:cs="宋体"/>
          <w:color w:val="auto"/>
          <w:kern w:val="0"/>
          <w:szCs w:val="21"/>
        </w:rPr>
      </w:pPr>
      <w:r>
        <w:rPr>
          <w:rFonts w:hint="eastAsia" w:ascii="宋体" w:hAnsi="宋体" w:cs="宋体"/>
          <w:color w:val="auto"/>
          <w:kern w:val="0"/>
          <w:szCs w:val="21"/>
        </w:rPr>
        <w:t>供应商：</w:t>
      </w:r>
    </w:p>
    <w:p>
      <w:pPr>
        <w:autoSpaceDE w:val="0"/>
        <w:autoSpaceDN w:val="0"/>
        <w:adjustRightInd w:val="0"/>
        <w:snapToGrid w:val="0"/>
        <w:spacing w:line="400" w:lineRule="exact"/>
        <w:ind w:left="3780" w:leftChars="1800"/>
        <w:jc w:val="left"/>
        <w:rPr>
          <w:rFonts w:ascii="宋体" w:hAnsi="宋体" w:cs="宋体"/>
          <w:color w:val="auto"/>
          <w:kern w:val="0"/>
          <w:szCs w:val="21"/>
        </w:rPr>
      </w:pPr>
      <w:r>
        <w:rPr>
          <w:rFonts w:hint="eastAsia" w:ascii="宋体" w:hAnsi="宋体" w:cs="宋体"/>
          <w:color w:val="auto"/>
          <w:kern w:val="0"/>
          <w:szCs w:val="21"/>
        </w:rPr>
        <w:t>法定代表人或其委托代理人：（签字或盖人名章）</w:t>
      </w:r>
    </w:p>
    <w:p>
      <w:pPr>
        <w:autoSpaceDE w:val="0"/>
        <w:autoSpaceDN w:val="0"/>
        <w:adjustRightInd w:val="0"/>
        <w:snapToGrid w:val="0"/>
        <w:spacing w:line="400" w:lineRule="exact"/>
        <w:ind w:left="3780" w:leftChars="1800"/>
        <w:jc w:val="left"/>
        <w:rPr>
          <w:rFonts w:ascii="宋体" w:hAnsi="宋体" w:cs="宋体"/>
          <w:color w:val="auto"/>
          <w:kern w:val="0"/>
          <w:szCs w:val="21"/>
        </w:rPr>
      </w:pPr>
      <w:r>
        <w:rPr>
          <w:rFonts w:hint="eastAsia" w:ascii="宋体" w:hAnsi="宋体" w:cs="宋体"/>
          <w:color w:val="auto"/>
          <w:kern w:val="0"/>
          <w:szCs w:val="21"/>
        </w:rPr>
        <w:t>地址：</w:t>
      </w:r>
    </w:p>
    <w:p>
      <w:pPr>
        <w:autoSpaceDE w:val="0"/>
        <w:autoSpaceDN w:val="0"/>
        <w:adjustRightInd w:val="0"/>
        <w:snapToGrid w:val="0"/>
        <w:spacing w:line="400" w:lineRule="exact"/>
        <w:ind w:left="3780" w:leftChars="1800"/>
        <w:jc w:val="left"/>
        <w:rPr>
          <w:rFonts w:ascii="宋体" w:hAnsi="宋体" w:cs="宋体"/>
          <w:color w:val="auto"/>
          <w:kern w:val="0"/>
          <w:szCs w:val="21"/>
        </w:rPr>
      </w:pPr>
      <w:r>
        <w:rPr>
          <w:rFonts w:hint="eastAsia" w:ascii="宋体" w:hAnsi="宋体" w:cs="宋体"/>
          <w:color w:val="auto"/>
          <w:kern w:val="0"/>
          <w:szCs w:val="21"/>
        </w:rPr>
        <w:t>电话：</w:t>
      </w:r>
    </w:p>
    <w:p>
      <w:pPr>
        <w:autoSpaceDE w:val="0"/>
        <w:autoSpaceDN w:val="0"/>
        <w:adjustRightInd w:val="0"/>
        <w:snapToGrid w:val="0"/>
        <w:spacing w:line="400" w:lineRule="exact"/>
        <w:ind w:left="3780" w:leftChars="1800"/>
        <w:jc w:val="left"/>
        <w:rPr>
          <w:rFonts w:ascii="宋体" w:hAnsi="宋体" w:cs="宋体"/>
          <w:color w:val="auto"/>
          <w:kern w:val="0"/>
          <w:szCs w:val="21"/>
        </w:rPr>
      </w:pPr>
      <w:r>
        <w:rPr>
          <w:rFonts w:hint="eastAsia" w:ascii="宋体" w:hAnsi="宋体" w:cs="宋体"/>
          <w:color w:val="auto"/>
          <w:kern w:val="0"/>
          <w:szCs w:val="21"/>
        </w:rPr>
        <w:t>传真：</w:t>
      </w:r>
    </w:p>
    <w:p>
      <w:pPr>
        <w:autoSpaceDE w:val="0"/>
        <w:autoSpaceDN w:val="0"/>
        <w:adjustRightInd w:val="0"/>
        <w:snapToGrid w:val="0"/>
        <w:spacing w:line="360" w:lineRule="auto"/>
        <w:ind w:left="5939" w:leftChars="2828"/>
        <w:jc w:val="left"/>
        <w:rPr>
          <w:rFonts w:ascii="宋体" w:hAnsi="宋体" w:cs="宋体"/>
          <w:color w:val="auto"/>
          <w:kern w:val="0"/>
          <w:szCs w:val="21"/>
        </w:rPr>
      </w:pPr>
    </w:p>
    <w:p>
      <w:pPr>
        <w:autoSpaceDE w:val="0"/>
        <w:autoSpaceDN w:val="0"/>
        <w:adjustRightInd w:val="0"/>
        <w:snapToGrid w:val="0"/>
        <w:spacing w:line="360" w:lineRule="auto"/>
        <w:ind w:left="5939" w:leftChars="2828"/>
        <w:jc w:val="left"/>
        <w:rPr>
          <w:rFonts w:ascii="宋体" w:hAnsi="宋体" w:cs="宋体"/>
          <w:color w:val="auto"/>
          <w:kern w:val="0"/>
          <w:sz w:val="24"/>
        </w:rPr>
      </w:pPr>
      <w:r>
        <w:rPr>
          <w:rFonts w:hint="eastAsia" w:ascii="宋体" w:hAnsi="宋体" w:cs="宋体"/>
          <w:color w:val="auto"/>
          <w:kern w:val="0"/>
          <w:szCs w:val="21"/>
        </w:rPr>
        <w:t>年月日</w:t>
      </w:r>
    </w:p>
    <w:p>
      <w:pPr>
        <w:spacing w:line="360" w:lineRule="auto"/>
        <w:rPr>
          <w:rFonts w:ascii="宋体" w:hAnsi="宋体" w:cs="宋体"/>
          <w:b/>
          <w:color w:val="auto"/>
          <w:sz w:val="24"/>
        </w:rPr>
      </w:pPr>
      <w:r>
        <w:rPr>
          <w:rFonts w:hint="eastAsia" w:ascii="宋体" w:hAnsi="宋体" w:cs="宋体"/>
          <w:color w:val="auto"/>
        </w:rPr>
        <w:br w:type="page"/>
      </w:r>
      <w:bookmarkEnd w:id="202"/>
      <w:bookmarkStart w:id="203" w:name="_Toc192127131"/>
      <w:bookmarkStart w:id="204" w:name="_Toc416103827"/>
      <w:bookmarkStart w:id="205" w:name="_Toc195922057"/>
    </w:p>
    <w:p>
      <w:pPr>
        <w:spacing w:line="360" w:lineRule="auto"/>
        <w:rPr>
          <w:rFonts w:ascii="宋体" w:hAnsi="宋体" w:cs="宋体"/>
          <w:color w:val="auto"/>
          <w:sz w:val="24"/>
        </w:rPr>
      </w:pPr>
    </w:p>
    <w:p>
      <w:pPr>
        <w:spacing w:line="360" w:lineRule="auto"/>
        <w:jc w:val="center"/>
        <w:rPr>
          <w:rFonts w:ascii="宋体" w:hAnsi="宋体" w:cs="宋体"/>
          <w:color w:val="auto"/>
          <w:sz w:val="24"/>
        </w:rPr>
      </w:pPr>
      <w:r>
        <w:rPr>
          <w:rFonts w:hint="eastAsia" w:ascii="宋体" w:hAnsi="宋体" w:cs="宋体"/>
          <w:color w:val="auto"/>
          <w:sz w:val="24"/>
        </w:rPr>
        <w:t>报价函附录</w:t>
      </w:r>
    </w:p>
    <w:tbl>
      <w:tblPr>
        <w:tblStyle w:val="74"/>
        <w:tblW w:w="8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66"/>
        <w:gridCol w:w="6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4"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ind w:left="141" w:leftChars="67" w:right="103" w:rightChars="49"/>
              <w:jc w:val="center"/>
              <w:rPr>
                <w:rFonts w:ascii="宋体" w:hAnsi="宋体" w:cs="宋体"/>
                <w:b/>
                <w:color w:val="auto"/>
                <w:sz w:val="24"/>
              </w:rPr>
            </w:pPr>
            <w:r>
              <w:rPr>
                <w:rFonts w:hint="eastAsia" w:ascii="宋体" w:hAnsi="宋体" w:cs="宋体"/>
                <w:b/>
                <w:color w:val="auto"/>
                <w:sz w:val="24"/>
              </w:rPr>
              <w:t>项目编号及磋商文件名称</w:t>
            </w:r>
          </w:p>
        </w:tc>
        <w:tc>
          <w:tcPr>
            <w:tcW w:w="6394" w:type="dxa"/>
            <w:tcBorders>
              <w:top w:val="single" w:color="auto" w:sz="4" w:space="0"/>
              <w:left w:val="single" w:color="auto" w:sz="4" w:space="0"/>
              <w:bottom w:val="single" w:color="auto" w:sz="4" w:space="0"/>
              <w:right w:val="single" w:color="auto" w:sz="4" w:space="0"/>
            </w:tcBorders>
            <w:vAlign w:val="center"/>
          </w:tcPr>
          <w:p>
            <w:pPr>
              <w:ind w:left="189" w:leftChars="90" w:firstLine="1"/>
              <w:rPr>
                <w:rFonts w:ascii="宋体" w:hAnsi="宋体" w:cs="宋体"/>
                <w:color w:val="auto"/>
                <w:szCs w:val="21"/>
              </w:rPr>
            </w:pPr>
            <w:r>
              <w:rPr>
                <w:rFonts w:hint="eastAsia" w:ascii="宋体" w:hAnsi="宋体" w:cs="宋体"/>
                <w:color w:val="auto"/>
                <w:szCs w:val="21"/>
              </w:rPr>
              <w:t>项目编号：</w:t>
            </w:r>
          </w:p>
          <w:p>
            <w:pPr>
              <w:ind w:left="189" w:leftChars="90" w:firstLine="1"/>
              <w:rPr>
                <w:rFonts w:ascii="宋体" w:hAnsi="宋体" w:cs="宋体"/>
                <w:color w:val="auto"/>
                <w:szCs w:val="21"/>
              </w:rPr>
            </w:pPr>
          </w:p>
          <w:p>
            <w:pPr>
              <w:ind w:left="189" w:leftChars="90" w:firstLine="1"/>
              <w:rPr>
                <w:rFonts w:ascii="宋体" w:hAnsi="宋体" w:cs="宋体"/>
                <w:color w:val="auto"/>
                <w:szCs w:val="21"/>
              </w:rPr>
            </w:pPr>
            <w:r>
              <w:rPr>
                <w:rFonts w:hint="eastAsia" w:ascii="宋体" w:hAnsi="宋体" w:cs="宋体"/>
                <w:color w:val="auto"/>
                <w:szCs w:val="21"/>
              </w:rPr>
              <w:t>磋商项目名称：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4"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ind w:left="-13" w:leftChars="-6"/>
              <w:jc w:val="center"/>
              <w:rPr>
                <w:rFonts w:ascii="宋体" w:hAnsi="宋体" w:cs="宋体"/>
                <w:b/>
                <w:color w:val="auto"/>
                <w:sz w:val="24"/>
              </w:rPr>
            </w:pPr>
            <w:r>
              <w:rPr>
                <w:rFonts w:hint="eastAsia" w:ascii="宋体" w:hAnsi="宋体" w:cs="宋体"/>
                <w:b/>
                <w:color w:val="auto"/>
                <w:sz w:val="24"/>
              </w:rPr>
              <w:t>响应总报价</w:t>
            </w:r>
          </w:p>
        </w:tc>
        <w:tc>
          <w:tcPr>
            <w:tcW w:w="6394" w:type="dxa"/>
            <w:tcBorders>
              <w:top w:val="single" w:color="auto" w:sz="4" w:space="0"/>
              <w:left w:val="single" w:color="auto" w:sz="4" w:space="0"/>
              <w:bottom w:val="single" w:color="auto" w:sz="4" w:space="0"/>
              <w:right w:val="single" w:color="auto" w:sz="4" w:space="0"/>
            </w:tcBorders>
            <w:vAlign w:val="center"/>
          </w:tcPr>
          <w:p>
            <w:pPr>
              <w:ind w:left="189" w:leftChars="90" w:firstLine="1"/>
              <w:rPr>
                <w:rFonts w:ascii="宋体" w:hAnsi="宋体" w:cs="宋体"/>
                <w:color w:val="auto"/>
                <w:szCs w:val="21"/>
              </w:rPr>
            </w:pPr>
            <w:r>
              <w:rPr>
                <w:rFonts w:hint="eastAsia" w:ascii="宋体" w:hAnsi="宋体" w:cs="宋体"/>
                <w:color w:val="auto"/>
                <w:szCs w:val="21"/>
              </w:rPr>
              <w:t>人民币（小写金额）：元</w:t>
            </w:r>
          </w:p>
          <w:p>
            <w:pPr>
              <w:ind w:left="189" w:leftChars="90" w:firstLine="1"/>
              <w:rPr>
                <w:rFonts w:ascii="宋体" w:hAnsi="宋体" w:cs="宋体"/>
                <w:color w:val="auto"/>
                <w:szCs w:val="21"/>
              </w:rPr>
            </w:pPr>
            <w:r>
              <w:rPr>
                <w:rFonts w:hint="eastAsia" w:ascii="宋体" w:hAnsi="宋体" w:cs="宋体"/>
                <w:color w:val="auto"/>
                <w:szCs w:val="21"/>
              </w:rPr>
              <w:t>人民币（大写金额）：整</w:t>
            </w:r>
          </w:p>
          <w:p>
            <w:pPr>
              <w:pStyle w:val="29"/>
              <w:ind w:firstLine="210" w:firstLineChars="100"/>
              <w:rPr>
                <w:rFonts w:ascii="宋体" w:hAnsi="宋体" w:cs="宋体"/>
                <w:color w:val="auto"/>
                <w:szCs w:val="21"/>
              </w:rPr>
            </w:pPr>
            <w:r>
              <w:rPr>
                <w:rFonts w:hint="eastAsia" w:ascii="宋体" w:hAnsi="宋体" w:cs="宋体"/>
                <w:color w:val="auto"/>
                <w:sz w:val="21"/>
                <w:szCs w:val="21"/>
              </w:rPr>
              <w:t>注：如有不一致，以大写为准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ind w:left="-13" w:leftChars="-6"/>
              <w:jc w:val="center"/>
              <w:rPr>
                <w:rFonts w:ascii="宋体" w:hAnsi="宋体" w:cs="宋体"/>
                <w:b/>
                <w:color w:val="auto"/>
                <w:sz w:val="24"/>
              </w:rPr>
            </w:pPr>
            <w:r>
              <w:rPr>
                <w:rFonts w:hint="eastAsia" w:ascii="宋体" w:hAnsi="宋体" w:cs="宋体"/>
                <w:b/>
                <w:color w:val="auto"/>
                <w:sz w:val="24"/>
              </w:rPr>
              <w:t>合同履行期限</w:t>
            </w:r>
          </w:p>
        </w:tc>
        <w:tc>
          <w:tcPr>
            <w:tcW w:w="6394" w:type="dxa"/>
            <w:tcBorders>
              <w:top w:val="single" w:color="auto" w:sz="4" w:space="0"/>
              <w:left w:val="single" w:color="auto" w:sz="4" w:space="0"/>
              <w:bottom w:val="single" w:color="auto" w:sz="4" w:space="0"/>
              <w:right w:val="single" w:color="auto" w:sz="4" w:space="0"/>
            </w:tcBorders>
            <w:vAlign w:val="center"/>
          </w:tcPr>
          <w:p>
            <w:pPr>
              <w:ind w:left="189" w:leftChars="90" w:firstLine="1"/>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ind w:left="-13" w:leftChars="-6"/>
              <w:jc w:val="center"/>
              <w:rPr>
                <w:rFonts w:ascii="宋体" w:hAnsi="宋体" w:cs="宋体"/>
                <w:b/>
                <w:color w:val="auto"/>
                <w:sz w:val="24"/>
              </w:rPr>
            </w:pPr>
            <w:r>
              <w:rPr>
                <w:rFonts w:hint="eastAsia" w:ascii="宋体" w:hAnsi="宋体" w:cs="宋体"/>
                <w:b/>
                <w:color w:val="auto"/>
                <w:sz w:val="24"/>
              </w:rPr>
              <w:t>质量标准</w:t>
            </w:r>
          </w:p>
        </w:tc>
        <w:tc>
          <w:tcPr>
            <w:tcW w:w="6394" w:type="dxa"/>
            <w:tcBorders>
              <w:top w:val="single" w:color="auto" w:sz="4" w:space="0"/>
              <w:left w:val="single" w:color="auto" w:sz="4" w:space="0"/>
              <w:bottom w:val="single" w:color="auto" w:sz="4" w:space="0"/>
              <w:right w:val="single" w:color="auto" w:sz="4" w:space="0"/>
            </w:tcBorders>
            <w:vAlign w:val="center"/>
          </w:tcPr>
          <w:p>
            <w:pPr>
              <w:ind w:left="189" w:leftChars="90" w:firstLine="1"/>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0"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ind w:left="-13" w:leftChars="-6"/>
              <w:jc w:val="center"/>
              <w:rPr>
                <w:rFonts w:ascii="宋体" w:hAnsi="宋体" w:cs="宋体"/>
                <w:b/>
                <w:color w:val="auto"/>
                <w:sz w:val="24"/>
              </w:rPr>
            </w:pPr>
            <w:r>
              <w:rPr>
                <w:rFonts w:hint="eastAsia" w:ascii="宋体" w:hAnsi="宋体" w:cs="宋体"/>
                <w:b/>
                <w:color w:val="auto"/>
                <w:sz w:val="24"/>
              </w:rPr>
              <w:t>服务/履约地点</w:t>
            </w:r>
          </w:p>
        </w:tc>
        <w:tc>
          <w:tcPr>
            <w:tcW w:w="6394" w:type="dxa"/>
            <w:tcBorders>
              <w:top w:val="single" w:color="auto" w:sz="4" w:space="0"/>
              <w:left w:val="single" w:color="auto" w:sz="4" w:space="0"/>
              <w:bottom w:val="single" w:color="auto" w:sz="4" w:space="0"/>
              <w:right w:val="single" w:color="auto" w:sz="4" w:space="0"/>
            </w:tcBorders>
            <w:vAlign w:val="center"/>
          </w:tcPr>
          <w:p>
            <w:pPr>
              <w:ind w:left="899" w:leftChars="428" w:firstLine="1"/>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rPr>
            </w:pPr>
            <w:r>
              <w:rPr>
                <w:rFonts w:hint="eastAsia" w:ascii="宋体" w:hAnsi="宋体" w:cs="宋体"/>
                <w:b/>
                <w:color w:val="auto"/>
                <w:sz w:val="24"/>
              </w:rPr>
              <w:t>其他声明（如有）</w:t>
            </w:r>
          </w:p>
        </w:tc>
        <w:tc>
          <w:tcPr>
            <w:tcW w:w="6394" w:type="dxa"/>
            <w:tcBorders>
              <w:top w:val="single" w:color="auto" w:sz="4" w:space="0"/>
              <w:left w:val="single" w:color="auto" w:sz="4" w:space="0"/>
              <w:bottom w:val="single" w:color="auto" w:sz="4" w:space="0"/>
              <w:right w:val="single" w:color="auto" w:sz="4" w:space="0"/>
            </w:tcBorders>
            <w:vAlign w:val="center"/>
          </w:tcPr>
          <w:p>
            <w:pPr>
              <w:ind w:left="899" w:leftChars="428" w:firstLine="1"/>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jc w:val="center"/>
        </w:trPr>
        <w:tc>
          <w:tcPr>
            <w:tcW w:w="1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rPr>
            </w:pPr>
            <w:r>
              <w:rPr>
                <w:rFonts w:hint="eastAsia" w:ascii="宋体" w:hAnsi="宋体" w:cs="宋体"/>
                <w:b/>
                <w:color w:val="auto"/>
                <w:sz w:val="24"/>
              </w:rPr>
              <w:t>备注</w:t>
            </w:r>
          </w:p>
        </w:tc>
        <w:tc>
          <w:tcPr>
            <w:tcW w:w="6394" w:type="dxa"/>
            <w:tcBorders>
              <w:top w:val="single" w:color="auto" w:sz="4" w:space="0"/>
              <w:left w:val="single" w:color="auto" w:sz="4" w:space="0"/>
              <w:bottom w:val="single" w:color="auto" w:sz="4" w:space="0"/>
              <w:right w:val="single" w:color="auto" w:sz="4" w:space="0"/>
            </w:tcBorders>
            <w:vAlign w:val="center"/>
          </w:tcPr>
          <w:p>
            <w:pPr>
              <w:ind w:left="899" w:leftChars="428" w:firstLine="1"/>
              <w:rPr>
                <w:rFonts w:ascii="宋体" w:hAnsi="宋体" w:cs="宋体"/>
                <w:color w:val="auto"/>
                <w:sz w:val="24"/>
              </w:rPr>
            </w:pPr>
          </w:p>
        </w:tc>
      </w:tr>
    </w:tbl>
    <w:p>
      <w:pPr>
        <w:pStyle w:val="40"/>
        <w:tabs>
          <w:tab w:val="left" w:pos="5580"/>
        </w:tabs>
        <w:spacing w:before="120"/>
        <w:ind w:firstLine="630" w:firstLineChars="300"/>
        <w:rPr>
          <w:rFonts w:hAnsi="宋体" w:cs="宋体"/>
          <w:color w:val="auto"/>
          <w:szCs w:val="18"/>
        </w:rPr>
      </w:pPr>
      <w:r>
        <w:rPr>
          <w:rFonts w:hint="eastAsia" w:hAnsi="宋体" w:cs="宋体"/>
          <w:color w:val="auto"/>
          <w:szCs w:val="18"/>
        </w:rPr>
        <w:t>供应商名称（盖章）：</w:t>
      </w:r>
    </w:p>
    <w:p>
      <w:pPr>
        <w:pStyle w:val="40"/>
        <w:tabs>
          <w:tab w:val="left" w:pos="5340"/>
        </w:tabs>
        <w:spacing w:before="120"/>
        <w:ind w:firstLine="630" w:firstLineChars="300"/>
        <w:rPr>
          <w:rFonts w:hAnsi="宋体" w:cs="宋体"/>
          <w:color w:val="auto"/>
          <w:szCs w:val="18"/>
          <w:u w:val="single"/>
        </w:rPr>
      </w:pPr>
      <w:r>
        <w:rPr>
          <w:rFonts w:hint="eastAsia" w:hAnsi="宋体" w:cs="宋体"/>
          <w:color w:val="auto"/>
          <w:szCs w:val="18"/>
        </w:rPr>
        <w:t>供应商授权代表(</w:t>
      </w:r>
      <w:r>
        <w:rPr>
          <w:rFonts w:hint="eastAsia" w:hAnsi="宋体" w:cs="宋体"/>
          <w:color w:val="auto"/>
          <w:kern w:val="0"/>
          <w:szCs w:val="18"/>
        </w:rPr>
        <w:t>签字或盖人名章</w:t>
      </w:r>
      <w:r>
        <w:rPr>
          <w:rFonts w:hint="eastAsia" w:hAnsi="宋体" w:cs="宋体"/>
          <w:color w:val="auto"/>
          <w:szCs w:val="18"/>
        </w:rPr>
        <w:t>)：</w:t>
      </w:r>
      <w:r>
        <w:rPr>
          <w:rFonts w:hint="eastAsia" w:hAnsi="宋体" w:cs="宋体"/>
          <w:color w:val="auto"/>
          <w:szCs w:val="18"/>
          <w:u w:val="single"/>
        </w:rPr>
        <w:tab/>
      </w:r>
    </w:p>
    <w:p>
      <w:pPr>
        <w:pStyle w:val="40"/>
        <w:tabs>
          <w:tab w:val="left" w:pos="5580"/>
        </w:tabs>
        <w:spacing w:before="120"/>
        <w:ind w:firstLine="630" w:firstLineChars="300"/>
        <w:rPr>
          <w:rFonts w:hAnsi="宋体" w:cs="宋体"/>
          <w:color w:val="auto"/>
          <w:szCs w:val="18"/>
          <w:u w:val="single"/>
        </w:rPr>
      </w:pPr>
      <w:r>
        <w:rPr>
          <w:rFonts w:hint="eastAsia" w:hAnsi="宋体" w:cs="宋体"/>
          <w:color w:val="auto"/>
          <w:szCs w:val="18"/>
        </w:rPr>
        <w:t>日期：</w:t>
      </w:r>
    </w:p>
    <w:p>
      <w:pPr>
        <w:pStyle w:val="40"/>
        <w:tabs>
          <w:tab w:val="left" w:pos="5580"/>
        </w:tabs>
        <w:spacing w:before="120"/>
        <w:ind w:firstLine="630" w:firstLineChars="300"/>
        <w:rPr>
          <w:rFonts w:hAnsi="宋体" w:cs="宋体"/>
          <w:color w:val="auto"/>
          <w:szCs w:val="18"/>
          <w:u w:val="single"/>
        </w:rPr>
      </w:pPr>
    </w:p>
    <w:p>
      <w:pPr>
        <w:pStyle w:val="40"/>
        <w:tabs>
          <w:tab w:val="left" w:pos="5580"/>
        </w:tabs>
        <w:spacing w:before="120"/>
        <w:ind w:firstLine="630" w:firstLineChars="300"/>
        <w:rPr>
          <w:rFonts w:hAnsi="宋体" w:cs="宋体"/>
          <w:color w:val="auto"/>
          <w:szCs w:val="18"/>
        </w:rPr>
      </w:pPr>
    </w:p>
    <w:p>
      <w:pPr>
        <w:pStyle w:val="40"/>
        <w:tabs>
          <w:tab w:val="left" w:pos="5580"/>
        </w:tabs>
        <w:spacing w:before="120"/>
        <w:ind w:firstLine="630" w:firstLineChars="300"/>
        <w:rPr>
          <w:rFonts w:hAnsi="宋体" w:cs="宋体"/>
          <w:color w:val="auto"/>
          <w:szCs w:val="18"/>
        </w:rPr>
      </w:pPr>
      <w:r>
        <w:rPr>
          <w:rFonts w:hint="eastAsia" w:hAnsi="宋体" w:cs="宋体"/>
          <w:color w:val="auto"/>
          <w:szCs w:val="18"/>
        </w:rPr>
        <w:t>注:此表中响应文件总报价应与附件5中的总价相一致。</w:t>
      </w:r>
    </w:p>
    <w:p>
      <w:pPr>
        <w:pStyle w:val="40"/>
        <w:tabs>
          <w:tab w:val="left" w:pos="5580"/>
        </w:tabs>
        <w:spacing w:before="120"/>
        <w:ind w:firstLine="720" w:firstLineChars="300"/>
        <w:rPr>
          <w:rFonts w:hAnsi="宋体" w:cs="宋体"/>
          <w:color w:val="auto"/>
          <w:sz w:val="24"/>
        </w:rPr>
      </w:pPr>
      <w:r>
        <w:rPr>
          <w:rFonts w:hint="eastAsia" w:hAnsi="宋体" w:cs="宋体"/>
          <w:color w:val="auto"/>
          <w:sz w:val="24"/>
        </w:rPr>
        <w:br w:type="page"/>
      </w:r>
    </w:p>
    <w:p>
      <w:pPr>
        <w:pStyle w:val="281"/>
        <w:numPr>
          <w:ilvl w:val="0"/>
          <w:numId w:val="15"/>
        </w:numPr>
        <w:spacing w:line="360" w:lineRule="auto"/>
        <w:ind w:left="1276" w:hanging="1276" w:firstLineChars="0"/>
        <w:outlineLvl w:val="1"/>
        <w:rPr>
          <w:rFonts w:ascii="宋体" w:hAnsi="宋体" w:cs="宋体"/>
          <w:b/>
          <w:color w:val="auto"/>
          <w:sz w:val="24"/>
        </w:rPr>
      </w:pPr>
      <w:bookmarkStart w:id="206" w:name="_Toc12184"/>
      <w:bookmarkStart w:id="207" w:name="_Toc4433583"/>
      <w:bookmarkStart w:id="208" w:name="_Toc3220208"/>
      <w:r>
        <w:rPr>
          <w:rFonts w:hint="eastAsia" w:ascii="宋体" w:hAnsi="宋体" w:cs="宋体"/>
          <w:b/>
          <w:color w:val="auto"/>
          <w:sz w:val="24"/>
        </w:rPr>
        <w:t>法定代表人身份证明</w:t>
      </w:r>
      <w:bookmarkEnd w:id="206"/>
      <w:bookmarkEnd w:id="207"/>
      <w:bookmarkEnd w:id="208"/>
    </w:p>
    <w:p>
      <w:pPr>
        <w:spacing w:before="156" w:beforeLines="50" w:line="288" w:lineRule="auto"/>
        <w:ind w:hanging="104"/>
        <w:jc w:val="center"/>
        <w:rPr>
          <w:rFonts w:ascii="宋体" w:hAnsi="宋体" w:cs="宋体"/>
          <w:color w:val="auto"/>
          <w:szCs w:val="21"/>
        </w:rPr>
      </w:pPr>
    </w:p>
    <w:p>
      <w:pPr>
        <w:autoSpaceDE w:val="0"/>
        <w:autoSpaceDN w:val="0"/>
        <w:adjustRightInd w:val="0"/>
        <w:jc w:val="center"/>
        <w:rPr>
          <w:rFonts w:ascii="宋体" w:hAnsi="宋体" w:cs="宋体"/>
          <w:color w:val="auto"/>
          <w:kern w:val="0"/>
          <w:sz w:val="28"/>
          <w:szCs w:val="28"/>
        </w:rPr>
      </w:pPr>
      <w:r>
        <w:rPr>
          <w:rFonts w:hint="eastAsia" w:ascii="宋体" w:hAnsi="宋体" w:cs="宋体"/>
          <w:color w:val="auto"/>
          <w:kern w:val="0"/>
          <w:sz w:val="28"/>
          <w:szCs w:val="28"/>
        </w:rPr>
        <w:t>法定代表人身份证明</w:t>
      </w:r>
    </w:p>
    <w:p>
      <w:pPr>
        <w:autoSpaceDE w:val="0"/>
        <w:autoSpaceDN w:val="0"/>
        <w:adjustRightInd w:val="0"/>
        <w:spacing w:line="360" w:lineRule="auto"/>
        <w:jc w:val="left"/>
        <w:rPr>
          <w:rFonts w:ascii="宋体" w:hAnsi="宋体" w:cs="宋体"/>
          <w:color w:val="auto"/>
          <w:kern w:val="0"/>
          <w:sz w:val="24"/>
        </w:rPr>
      </w:pPr>
    </w:p>
    <w:p>
      <w:pPr>
        <w:autoSpaceDE w:val="0"/>
        <w:autoSpaceDN w:val="0"/>
        <w:adjustRightInd w:val="0"/>
        <w:spacing w:line="360" w:lineRule="auto"/>
        <w:jc w:val="left"/>
        <w:rPr>
          <w:rFonts w:ascii="宋体" w:hAnsi="宋体" w:cs="宋体"/>
          <w:color w:val="auto"/>
          <w:kern w:val="0"/>
          <w:sz w:val="24"/>
        </w:rPr>
      </w:pPr>
    </w:p>
    <w:p>
      <w:pPr>
        <w:autoSpaceDE w:val="0"/>
        <w:autoSpaceDN w:val="0"/>
        <w:adjustRightInd w:val="0"/>
        <w:spacing w:line="360" w:lineRule="auto"/>
        <w:jc w:val="left"/>
        <w:rPr>
          <w:rFonts w:ascii="宋体" w:hAnsi="宋体" w:cs="宋体"/>
          <w:color w:val="auto"/>
          <w:kern w:val="0"/>
          <w:sz w:val="24"/>
        </w:rPr>
      </w:pPr>
    </w:p>
    <w:p>
      <w:pPr>
        <w:autoSpaceDE w:val="0"/>
        <w:autoSpaceDN w:val="0"/>
        <w:adjustRightInd w:val="0"/>
        <w:spacing w:line="360" w:lineRule="auto"/>
        <w:jc w:val="left"/>
        <w:rPr>
          <w:rFonts w:ascii="宋体" w:hAnsi="宋体" w:cs="宋体"/>
          <w:color w:val="auto"/>
          <w:kern w:val="0"/>
          <w:sz w:val="24"/>
        </w:rPr>
      </w:pPr>
    </w:p>
    <w:p>
      <w:pPr>
        <w:autoSpaceDE w:val="0"/>
        <w:autoSpaceDN w:val="0"/>
        <w:adjustRightInd w:val="0"/>
        <w:spacing w:line="360" w:lineRule="auto"/>
        <w:ind w:firstLine="367" w:firstLineChars="175"/>
        <w:jc w:val="left"/>
        <w:rPr>
          <w:rFonts w:ascii="宋体" w:hAnsi="宋体" w:cs="宋体"/>
          <w:color w:val="auto"/>
          <w:kern w:val="0"/>
          <w:szCs w:val="21"/>
        </w:rPr>
      </w:pPr>
      <w:r>
        <w:rPr>
          <w:rFonts w:hint="eastAsia" w:ascii="宋体" w:hAnsi="宋体" w:cs="宋体"/>
          <w:color w:val="auto"/>
          <w:kern w:val="0"/>
          <w:szCs w:val="21"/>
        </w:rPr>
        <w:t>姓名：性别：年龄： 职务：系（供应商名称）的法定代表人。</w:t>
      </w:r>
    </w:p>
    <w:p>
      <w:pPr>
        <w:autoSpaceDE w:val="0"/>
        <w:autoSpaceDN w:val="0"/>
        <w:adjustRightInd w:val="0"/>
        <w:spacing w:line="360" w:lineRule="auto"/>
        <w:jc w:val="left"/>
        <w:rPr>
          <w:rFonts w:ascii="宋体" w:hAnsi="宋体" w:cs="宋体"/>
          <w:color w:val="auto"/>
          <w:kern w:val="0"/>
          <w:sz w:val="24"/>
        </w:rPr>
      </w:pPr>
      <w:r>
        <w:rPr>
          <w:rFonts w:hint="eastAsia" w:ascii="宋体" w:hAnsi="宋体" w:cs="宋体"/>
          <w:color w:val="auto"/>
          <w:kern w:val="0"/>
          <w:szCs w:val="21"/>
        </w:rPr>
        <w:t>特此证明。</w:t>
      </w:r>
    </w:p>
    <w:p>
      <w:pPr>
        <w:autoSpaceDE w:val="0"/>
        <w:autoSpaceDN w:val="0"/>
        <w:adjustRightInd w:val="0"/>
        <w:spacing w:line="360" w:lineRule="auto"/>
        <w:jc w:val="left"/>
        <w:rPr>
          <w:rFonts w:ascii="宋体" w:hAnsi="宋体" w:cs="宋体"/>
          <w:color w:val="auto"/>
          <w:kern w:val="0"/>
          <w:sz w:val="24"/>
        </w:rPr>
      </w:pPr>
    </w:p>
    <w:p>
      <w:pPr>
        <w:autoSpaceDE w:val="0"/>
        <w:autoSpaceDN w:val="0"/>
        <w:adjustRightInd w:val="0"/>
        <w:spacing w:line="360" w:lineRule="auto"/>
        <w:jc w:val="left"/>
        <w:rPr>
          <w:rFonts w:ascii="宋体" w:hAnsi="宋体" w:cs="宋体"/>
          <w:color w:val="auto"/>
          <w:kern w:val="0"/>
          <w:sz w:val="24"/>
        </w:rPr>
      </w:pPr>
    </w:p>
    <w:p>
      <w:pPr>
        <w:autoSpaceDE w:val="0"/>
        <w:autoSpaceDN w:val="0"/>
        <w:adjustRightInd w:val="0"/>
        <w:spacing w:line="360" w:lineRule="auto"/>
        <w:jc w:val="left"/>
        <w:rPr>
          <w:rFonts w:ascii="宋体" w:hAnsi="宋体" w:cs="宋体"/>
          <w:color w:val="auto"/>
          <w:kern w:val="0"/>
          <w:sz w:val="24"/>
        </w:rPr>
      </w:pPr>
    </w:p>
    <w:p>
      <w:pPr>
        <w:autoSpaceDE w:val="0"/>
        <w:autoSpaceDN w:val="0"/>
        <w:adjustRightInd w:val="0"/>
        <w:spacing w:line="360" w:lineRule="auto"/>
        <w:jc w:val="left"/>
        <w:rPr>
          <w:rFonts w:ascii="宋体" w:hAnsi="宋体" w:cs="宋体"/>
          <w:color w:val="auto"/>
          <w:kern w:val="0"/>
          <w:sz w:val="24"/>
        </w:rPr>
      </w:pPr>
    </w:p>
    <w:p>
      <w:pPr>
        <w:autoSpaceDE w:val="0"/>
        <w:autoSpaceDN w:val="0"/>
        <w:adjustRightInd w:val="0"/>
        <w:spacing w:line="360" w:lineRule="auto"/>
        <w:ind w:left="5399" w:leftChars="2571"/>
        <w:jc w:val="left"/>
        <w:rPr>
          <w:rFonts w:ascii="宋体" w:hAnsi="宋体" w:cs="宋体"/>
          <w:color w:val="auto"/>
          <w:kern w:val="0"/>
          <w:szCs w:val="21"/>
        </w:rPr>
      </w:pPr>
      <w:r>
        <w:rPr>
          <w:rFonts w:hint="eastAsia" w:ascii="宋体" w:hAnsi="宋体" w:cs="宋体"/>
          <w:color w:val="auto"/>
          <w:kern w:val="0"/>
          <w:szCs w:val="21"/>
        </w:rPr>
        <w:t>供应商：          （盖单位章）</w:t>
      </w:r>
    </w:p>
    <w:p>
      <w:pPr>
        <w:autoSpaceDE w:val="0"/>
        <w:autoSpaceDN w:val="0"/>
        <w:adjustRightInd w:val="0"/>
        <w:spacing w:line="360" w:lineRule="auto"/>
        <w:ind w:left="5399" w:leftChars="2571"/>
        <w:jc w:val="left"/>
        <w:rPr>
          <w:rFonts w:ascii="宋体" w:hAnsi="宋体" w:cs="宋体"/>
          <w:color w:val="auto"/>
          <w:kern w:val="0"/>
          <w:sz w:val="24"/>
        </w:rPr>
      </w:pPr>
    </w:p>
    <w:p>
      <w:pPr>
        <w:autoSpaceDE w:val="0"/>
        <w:autoSpaceDN w:val="0"/>
        <w:adjustRightInd w:val="0"/>
        <w:spacing w:line="360" w:lineRule="auto"/>
        <w:ind w:left="6659" w:leftChars="3171"/>
        <w:jc w:val="left"/>
        <w:rPr>
          <w:rFonts w:ascii="宋体" w:hAnsi="宋体" w:cs="宋体"/>
          <w:color w:val="auto"/>
          <w:kern w:val="0"/>
          <w:szCs w:val="21"/>
        </w:rPr>
      </w:pPr>
      <w:r>
        <w:rPr>
          <w:rFonts w:hint="eastAsia" w:ascii="宋体" w:hAnsi="宋体" w:cs="宋体"/>
          <w:color w:val="auto"/>
          <w:kern w:val="0"/>
          <w:szCs w:val="21"/>
        </w:rPr>
        <w:t>年月日</w:t>
      </w:r>
    </w:p>
    <w:p>
      <w:pPr>
        <w:widowControl/>
        <w:jc w:val="left"/>
        <w:rPr>
          <w:rFonts w:ascii="宋体" w:hAnsi="宋体" w:cs="宋体"/>
          <w:color w:val="auto"/>
          <w:kern w:val="0"/>
          <w:sz w:val="24"/>
        </w:rPr>
      </w:pPr>
      <w:r>
        <w:rPr>
          <w:rFonts w:hint="eastAsia" w:ascii="宋体" w:hAnsi="宋体" w:cs="宋体"/>
          <w:color w:val="auto"/>
          <w:kern w:val="0"/>
          <w:sz w:val="24"/>
        </w:rPr>
        <w:br w:type="page"/>
      </w:r>
    </w:p>
    <w:p>
      <w:pPr>
        <w:pStyle w:val="281"/>
        <w:numPr>
          <w:ilvl w:val="0"/>
          <w:numId w:val="15"/>
        </w:numPr>
        <w:spacing w:line="360" w:lineRule="auto"/>
        <w:ind w:left="1276" w:hanging="1276" w:firstLineChars="0"/>
        <w:outlineLvl w:val="1"/>
        <w:rPr>
          <w:rFonts w:ascii="宋体" w:hAnsi="宋体" w:cs="宋体"/>
          <w:b/>
          <w:color w:val="auto"/>
          <w:sz w:val="24"/>
        </w:rPr>
      </w:pPr>
      <w:bookmarkStart w:id="209" w:name="_Toc2621"/>
      <w:bookmarkStart w:id="210" w:name="_Toc4433584"/>
      <w:bookmarkStart w:id="211" w:name="_Toc3220209"/>
      <w:bookmarkStart w:id="212" w:name="_Toc195922058"/>
      <w:r>
        <w:rPr>
          <w:rFonts w:hint="eastAsia" w:ascii="宋体" w:hAnsi="宋体" w:cs="宋体"/>
          <w:b/>
          <w:color w:val="auto"/>
          <w:sz w:val="24"/>
        </w:rPr>
        <w:t>授权委托书</w:t>
      </w:r>
      <w:bookmarkEnd w:id="209"/>
      <w:bookmarkEnd w:id="210"/>
      <w:bookmarkEnd w:id="211"/>
    </w:p>
    <w:p>
      <w:pPr>
        <w:autoSpaceDE w:val="0"/>
        <w:autoSpaceDN w:val="0"/>
        <w:adjustRightInd w:val="0"/>
        <w:jc w:val="center"/>
        <w:rPr>
          <w:rFonts w:ascii="宋体" w:hAnsi="宋体" w:cs="宋体"/>
          <w:color w:val="auto"/>
          <w:kern w:val="0"/>
          <w:sz w:val="18"/>
          <w:szCs w:val="18"/>
        </w:rPr>
      </w:pPr>
    </w:p>
    <w:p>
      <w:pPr>
        <w:autoSpaceDE w:val="0"/>
        <w:autoSpaceDN w:val="0"/>
        <w:adjustRightInd w:val="0"/>
        <w:jc w:val="center"/>
        <w:rPr>
          <w:rFonts w:ascii="宋体" w:hAnsi="宋体" w:cs="宋体"/>
          <w:color w:val="auto"/>
          <w:kern w:val="0"/>
          <w:sz w:val="28"/>
          <w:szCs w:val="28"/>
        </w:rPr>
      </w:pPr>
      <w:r>
        <w:rPr>
          <w:rFonts w:hint="eastAsia" w:ascii="宋体" w:hAnsi="宋体" w:cs="宋体"/>
          <w:color w:val="auto"/>
          <w:kern w:val="0"/>
          <w:sz w:val="28"/>
          <w:szCs w:val="28"/>
        </w:rPr>
        <w:t>授权委托书</w:t>
      </w:r>
      <w:bookmarkEnd w:id="212"/>
    </w:p>
    <w:p>
      <w:pPr>
        <w:autoSpaceDE w:val="0"/>
        <w:autoSpaceDN w:val="0"/>
        <w:adjustRightInd w:val="0"/>
        <w:jc w:val="center"/>
        <w:rPr>
          <w:rFonts w:ascii="宋体" w:hAnsi="宋体" w:cs="宋体"/>
          <w:color w:val="auto"/>
          <w:kern w:val="0"/>
          <w:sz w:val="28"/>
          <w:szCs w:val="28"/>
        </w:rPr>
      </w:pPr>
    </w:p>
    <w:p>
      <w:pPr>
        <w:autoSpaceDE w:val="0"/>
        <w:autoSpaceDN w:val="0"/>
        <w:adjustRightInd w:val="0"/>
        <w:jc w:val="left"/>
        <w:rPr>
          <w:rFonts w:ascii="宋体" w:hAnsi="宋体" w:cs="宋体"/>
          <w:color w:val="auto"/>
          <w:kern w:val="0"/>
          <w:szCs w:val="21"/>
        </w:rPr>
      </w:pPr>
    </w:p>
    <w:p>
      <w:pPr>
        <w:autoSpaceDE w:val="0"/>
        <w:autoSpaceDN w:val="0"/>
        <w:adjustRightInd w:val="0"/>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本人（姓名）系（供应商名称）的法定代表人，现委托（姓名）为我方代理人。代理人根据授权，以我方名义签署、澄清、说明、补正、递交、撤回、修改（项目名称）响应文件、签订合同和处理有关事宜，其法律后果由我方承担。</w:t>
      </w:r>
    </w:p>
    <w:p>
      <w:pPr>
        <w:autoSpaceDE w:val="0"/>
        <w:autoSpaceDN w:val="0"/>
        <w:adjustRightInd w:val="0"/>
        <w:spacing w:line="400" w:lineRule="exact"/>
        <w:jc w:val="left"/>
        <w:rPr>
          <w:rFonts w:ascii="宋体" w:hAnsi="宋体" w:cs="宋体"/>
          <w:color w:val="auto"/>
          <w:kern w:val="0"/>
          <w:szCs w:val="21"/>
        </w:rPr>
      </w:pPr>
      <w:r>
        <w:rPr>
          <w:rFonts w:hint="eastAsia" w:ascii="宋体" w:hAnsi="宋体" w:cs="宋体"/>
          <w:color w:val="auto"/>
          <w:kern w:val="0"/>
          <w:szCs w:val="21"/>
        </w:rPr>
        <w:t>委托期限：。</w:t>
      </w:r>
    </w:p>
    <w:p>
      <w:pPr>
        <w:autoSpaceDE w:val="0"/>
        <w:autoSpaceDN w:val="0"/>
        <w:adjustRightInd w:val="0"/>
        <w:spacing w:line="400" w:lineRule="exact"/>
        <w:jc w:val="left"/>
        <w:rPr>
          <w:rFonts w:ascii="宋体" w:hAnsi="宋体" w:cs="宋体"/>
          <w:color w:val="auto"/>
          <w:kern w:val="0"/>
          <w:szCs w:val="21"/>
        </w:rPr>
      </w:pPr>
    </w:p>
    <w:p>
      <w:pPr>
        <w:autoSpaceDE w:val="0"/>
        <w:autoSpaceDN w:val="0"/>
        <w:adjustRightInd w:val="0"/>
        <w:spacing w:line="400" w:lineRule="exact"/>
        <w:jc w:val="left"/>
        <w:rPr>
          <w:rFonts w:ascii="宋体" w:hAnsi="宋体" w:cs="宋体"/>
          <w:color w:val="auto"/>
          <w:kern w:val="0"/>
          <w:szCs w:val="21"/>
        </w:rPr>
      </w:pPr>
      <w:r>
        <w:rPr>
          <w:rFonts w:hint="eastAsia" w:ascii="宋体" w:hAnsi="宋体" w:cs="宋体"/>
          <w:color w:val="auto"/>
          <w:kern w:val="0"/>
          <w:szCs w:val="21"/>
        </w:rPr>
        <w:t>代理人无转委托权。</w:t>
      </w:r>
    </w:p>
    <w:p>
      <w:pPr>
        <w:autoSpaceDE w:val="0"/>
        <w:autoSpaceDN w:val="0"/>
        <w:adjustRightInd w:val="0"/>
        <w:spacing w:line="400" w:lineRule="exact"/>
        <w:jc w:val="left"/>
        <w:rPr>
          <w:rFonts w:ascii="宋体" w:hAnsi="宋体" w:cs="宋体"/>
          <w:color w:val="auto"/>
          <w:kern w:val="0"/>
          <w:szCs w:val="21"/>
        </w:rPr>
      </w:pPr>
    </w:p>
    <w:p>
      <w:pPr>
        <w:autoSpaceDE w:val="0"/>
        <w:autoSpaceDN w:val="0"/>
        <w:adjustRightInd w:val="0"/>
        <w:spacing w:line="400" w:lineRule="exact"/>
        <w:jc w:val="left"/>
        <w:rPr>
          <w:rFonts w:ascii="宋体" w:hAnsi="宋体" w:cs="宋体"/>
          <w:color w:val="auto"/>
          <w:kern w:val="0"/>
          <w:szCs w:val="21"/>
        </w:rPr>
      </w:pPr>
    </w:p>
    <w:p>
      <w:pPr>
        <w:autoSpaceDE w:val="0"/>
        <w:autoSpaceDN w:val="0"/>
        <w:adjustRightInd w:val="0"/>
        <w:spacing w:line="400" w:lineRule="exact"/>
        <w:jc w:val="left"/>
        <w:rPr>
          <w:rFonts w:ascii="宋体" w:hAnsi="宋体" w:cs="宋体"/>
          <w:color w:val="auto"/>
          <w:kern w:val="0"/>
          <w:szCs w:val="21"/>
        </w:rPr>
      </w:pPr>
    </w:p>
    <w:p>
      <w:pPr>
        <w:autoSpaceDE w:val="0"/>
        <w:autoSpaceDN w:val="0"/>
        <w:adjustRightInd w:val="0"/>
        <w:spacing w:line="400" w:lineRule="exact"/>
        <w:jc w:val="left"/>
        <w:rPr>
          <w:rFonts w:ascii="宋体" w:hAnsi="宋体" w:cs="宋体"/>
          <w:color w:val="auto"/>
          <w:kern w:val="0"/>
          <w:sz w:val="24"/>
        </w:rPr>
      </w:pPr>
      <w:r>
        <w:rPr>
          <w:rFonts w:hint="eastAsia" w:ascii="宋体" w:hAnsi="宋体" w:cs="宋体"/>
          <w:color w:val="auto"/>
          <w:kern w:val="0"/>
          <w:szCs w:val="21"/>
        </w:rPr>
        <w:t>附：法定代表人身份证明及被授权人身份证明（复印件或扫描件）</w:t>
      </w:r>
    </w:p>
    <w:p>
      <w:pPr>
        <w:autoSpaceDE w:val="0"/>
        <w:autoSpaceDN w:val="0"/>
        <w:adjustRightInd w:val="0"/>
        <w:spacing w:line="360" w:lineRule="auto"/>
        <w:jc w:val="left"/>
        <w:rPr>
          <w:rFonts w:ascii="宋体" w:hAnsi="宋体" w:cs="宋体"/>
          <w:color w:val="auto"/>
          <w:kern w:val="0"/>
          <w:sz w:val="24"/>
        </w:rPr>
      </w:pPr>
    </w:p>
    <w:p>
      <w:pPr>
        <w:autoSpaceDE w:val="0"/>
        <w:autoSpaceDN w:val="0"/>
        <w:adjustRightInd w:val="0"/>
        <w:spacing w:line="360" w:lineRule="auto"/>
        <w:jc w:val="left"/>
        <w:rPr>
          <w:rFonts w:ascii="宋体" w:hAnsi="宋体" w:cs="宋体"/>
          <w:color w:val="auto"/>
          <w:kern w:val="0"/>
          <w:sz w:val="24"/>
        </w:rPr>
      </w:pPr>
    </w:p>
    <w:p>
      <w:pPr>
        <w:autoSpaceDE w:val="0"/>
        <w:autoSpaceDN w:val="0"/>
        <w:adjustRightInd w:val="0"/>
        <w:spacing w:line="360" w:lineRule="auto"/>
        <w:jc w:val="left"/>
        <w:rPr>
          <w:rFonts w:ascii="宋体" w:hAnsi="宋体" w:cs="宋体"/>
          <w:color w:val="auto"/>
          <w:kern w:val="0"/>
          <w:sz w:val="24"/>
        </w:rPr>
      </w:pPr>
    </w:p>
    <w:p>
      <w:pPr>
        <w:autoSpaceDE w:val="0"/>
        <w:autoSpaceDN w:val="0"/>
        <w:adjustRightInd w:val="0"/>
        <w:spacing w:line="400" w:lineRule="exact"/>
        <w:ind w:left="3958" w:leftChars="1885"/>
        <w:jc w:val="left"/>
        <w:rPr>
          <w:rFonts w:ascii="宋体" w:hAnsi="宋体" w:cs="宋体"/>
          <w:color w:val="auto"/>
          <w:kern w:val="0"/>
          <w:szCs w:val="21"/>
        </w:rPr>
      </w:pPr>
      <w:r>
        <w:rPr>
          <w:rFonts w:hint="eastAsia" w:ascii="宋体" w:hAnsi="宋体" w:cs="宋体"/>
          <w:color w:val="auto"/>
          <w:kern w:val="0"/>
          <w:szCs w:val="21"/>
        </w:rPr>
        <w:t>供应商：           （盖单位章）</w:t>
      </w:r>
    </w:p>
    <w:p>
      <w:pPr>
        <w:autoSpaceDE w:val="0"/>
        <w:autoSpaceDN w:val="0"/>
        <w:adjustRightInd w:val="0"/>
        <w:spacing w:line="400" w:lineRule="exact"/>
        <w:ind w:left="3958" w:leftChars="1885"/>
        <w:jc w:val="left"/>
        <w:rPr>
          <w:rFonts w:ascii="宋体" w:hAnsi="宋体" w:cs="宋体"/>
          <w:color w:val="auto"/>
          <w:kern w:val="0"/>
          <w:szCs w:val="21"/>
        </w:rPr>
      </w:pPr>
      <w:r>
        <w:rPr>
          <w:rFonts w:hint="eastAsia" w:ascii="宋体" w:hAnsi="宋体" w:cs="宋体"/>
          <w:color w:val="auto"/>
          <w:kern w:val="0"/>
          <w:szCs w:val="21"/>
        </w:rPr>
        <w:t>法定代表人：            （签字或加盖人名章）</w:t>
      </w:r>
    </w:p>
    <w:p>
      <w:pPr>
        <w:autoSpaceDE w:val="0"/>
        <w:autoSpaceDN w:val="0"/>
        <w:adjustRightInd w:val="0"/>
        <w:spacing w:line="400" w:lineRule="exact"/>
        <w:ind w:left="3958" w:leftChars="1885"/>
        <w:jc w:val="left"/>
        <w:rPr>
          <w:rFonts w:ascii="宋体" w:hAnsi="宋体" w:cs="宋体"/>
          <w:color w:val="auto"/>
          <w:kern w:val="0"/>
          <w:szCs w:val="21"/>
        </w:rPr>
      </w:pPr>
      <w:r>
        <w:rPr>
          <w:rFonts w:hint="eastAsia" w:ascii="宋体" w:hAnsi="宋体" w:cs="宋体"/>
          <w:color w:val="auto"/>
          <w:kern w:val="0"/>
          <w:szCs w:val="21"/>
        </w:rPr>
        <w:t>身份证号码：</w:t>
      </w:r>
    </w:p>
    <w:p>
      <w:pPr>
        <w:autoSpaceDE w:val="0"/>
        <w:autoSpaceDN w:val="0"/>
        <w:adjustRightInd w:val="0"/>
        <w:spacing w:line="400" w:lineRule="exact"/>
        <w:ind w:left="3958" w:leftChars="1885"/>
        <w:jc w:val="left"/>
        <w:rPr>
          <w:rFonts w:ascii="宋体" w:hAnsi="宋体" w:cs="宋体"/>
          <w:color w:val="auto"/>
          <w:kern w:val="0"/>
          <w:szCs w:val="21"/>
        </w:rPr>
      </w:pPr>
      <w:r>
        <w:rPr>
          <w:rFonts w:hint="eastAsia" w:ascii="宋体" w:hAnsi="宋体" w:cs="宋体"/>
          <w:color w:val="auto"/>
          <w:kern w:val="0"/>
          <w:szCs w:val="21"/>
        </w:rPr>
        <w:t>委托代理人：             （签字或加盖人名章）</w:t>
      </w:r>
    </w:p>
    <w:p>
      <w:pPr>
        <w:autoSpaceDE w:val="0"/>
        <w:autoSpaceDN w:val="0"/>
        <w:adjustRightInd w:val="0"/>
        <w:spacing w:line="400" w:lineRule="exact"/>
        <w:ind w:left="3958" w:leftChars="1885"/>
        <w:jc w:val="left"/>
        <w:rPr>
          <w:rFonts w:ascii="宋体" w:hAnsi="宋体" w:cs="宋体"/>
          <w:color w:val="auto"/>
          <w:kern w:val="0"/>
          <w:szCs w:val="21"/>
        </w:rPr>
      </w:pPr>
      <w:r>
        <w:rPr>
          <w:rFonts w:hint="eastAsia" w:ascii="宋体" w:hAnsi="宋体" w:cs="宋体"/>
          <w:color w:val="auto"/>
          <w:kern w:val="0"/>
          <w:szCs w:val="21"/>
        </w:rPr>
        <w:t>身份证号码：</w:t>
      </w:r>
    </w:p>
    <w:p>
      <w:pPr>
        <w:autoSpaceDE w:val="0"/>
        <w:autoSpaceDN w:val="0"/>
        <w:adjustRightInd w:val="0"/>
        <w:spacing w:line="360" w:lineRule="auto"/>
        <w:ind w:left="3958" w:leftChars="1885"/>
        <w:jc w:val="left"/>
        <w:rPr>
          <w:rFonts w:ascii="宋体" w:hAnsi="宋体" w:cs="宋体"/>
          <w:color w:val="auto"/>
          <w:kern w:val="0"/>
          <w:sz w:val="24"/>
        </w:rPr>
      </w:pPr>
      <w:r>
        <w:rPr>
          <w:rFonts w:hint="eastAsia" w:ascii="宋体" w:hAnsi="宋体" w:cs="宋体"/>
          <w:color w:val="auto"/>
          <w:kern w:val="0"/>
          <w:szCs w:val="21"/>
        </w:rPr>
        <w:t>年月日</w:t>
      </w:r>
    </w:p>
    <w:p>
      <w:pPr>
        <w:widowControl/>
        <w:jc w:val="left"/>
        <w:rPr>
          <w:rFonts w:ascii="宋体" w:hAnsi="宋体" w:cs="宋体"/>
          <w:color w:val="auto"/>
          <w:kern w:val="0"/>
          <w:sz w:val="24"/>
        </w:rPr>
      </w:pPr>
      <w:r>
        <w:rPr>
          <w:rFonts w:hint="eastAsia" w:ascii="宋体" w:hAnsi="宋体" w:cs="宋体"/>
          <w:color w:val="auto"/>
          <w:kern w:val="0"/>
          <w:sz w:val="24"/>
        </w:rPr>
        <w:br w:type="page"/>
      </w:r>
    </w:p>
    <w:bookmarkEnd w:id="203"/>
    <w:bookmarkEnd w:id="204"/>
    <w:bookmarkEnd w:id="205"/>
    <w:p>
      <w:pPr>
        <w:pStyle w:val="281"/>
        <w:numPr>
          <w:ilvl w:val="0"/>
          <w:numId w:val="15"/>
        </w:numPr>
        <w:spacing w:line="360" w:lineRule="auto"/>
        <w:ind w:left="1276" w:hanging="1276" w:firstLineChars="0"/>
        <w:outlineLvl w:val="1"/>
        <w:rPr>
          <w:rFonts w:ascii="宋体" w:hAnsi="宋体" w:cs="宋体"/>
          <w:b/>
          <w:color w:val="auto"/>
          <w:sz w:val="24"/>
        </w:rPr>
      </w:pPr>
      <w:bookmarkStart w:id="213" w:name="_Toc10291"/>
      <w:bookmarkStart w:id="214" w:name="_Toc4433585"/>
      <w:bookmarkStart w:id="215" w:name="_Toc3220210"/>
      <w:r>
        <w:rPr>
          <w:rFonts w:hint="eastAsia" w:ascii="宋体" w:hAnsi="宋体" w:cs="宋体"/>
          <w:b/>
          <w:color w:val="auto"/>
          <w:sz w:val="24"/>
        </w:rPr>
        <w:t>磋商保证金</w:t>
      </w:r>
      <w:bookmarkEnd w:id="213"/>
      <w:bookmarkEnd w:id="214"/>
      <w:bookmarkEnd w:id="215"/>
    </w:p>
    <w:p>
      <w:pPr>
        <w:spacing w:before="120" w:after="120" w:line="400" w:lineRule="exact"/>
        <w:ind w:firstLine="420" w:firstLineChars="200"/>
        <w:rPr>
          <w:rFonts w:ascii="宋体" w:hAnsi="宋体" w:cs="宋体"/>
          <w:color w:val="auto"/>
          <w:szCs w:val="21"/>
        </w:rPr>
      </w:pPr>
      <w:r>
        <w:rPr>
          <w:rFonts w:hint="eastAsia" w:ascii="宋体" w:hAnsi="宋体" w:cs="宋体"/>
          <w:color w:val="auto"/>
          <w:szCs w:val="21"/>
        </w:rPr>
        <w:t>（支票、汇票或本票的复印件，或采用汇款、网银等方式提交的保证金的汇款底单复印件）</w:t>
      </w:r>
    </w:p>
    <w:p>
      <w:pPr>
        <w:spacing w:line="400" w:lineRule="exact"/>
        <w:jc w:val="center"/>
        <w:rPr>
          <w:rFonts w:ascii="宋体" w:hAnsi="宋体" w:cs="宋体"/>
          <w:b/>
          <w:color w:val="auto"/>
          <w:szCs w:val="21"/>
        </w:rPr>
      </w:pPr>
    </w:p>
    <w:p>
      <w:pPr>
        <w:spacing w:line="400" w:lineRule="exact"/>
        <w:ind w:firstLine="422"/>
        <w:rPr>
          <w:rFonts w:ascii="宋体" w:hAnsi="宋体" w:cs="宋体"/>
          <w:b/>
          <w:color w:val="auto"/>
          <w:szCs w:val="21"/>
        </w:rPr>
      </w:pPr>
    </w:p>
    <w:p>
      <w:pPr>
        <w:spacing w:line="400" w:lineRule="exact"/>
        <w:ind w:firstLine="422"/>
        <w:rPr>
          <w:rFonts w:ascii="宋体" w:hAnsi="宋体" w:cs="宋体"/>
          <w:b/>
          <w:color w:val="auto"/>
          <w:szCs w:val="21"/>
        </w:rPr>
      </w:pPr>
    </w:p>
    <w:p>
      <w:pPr>
        <w:spacing w:line="400" w:lineRule="exact"/>
        <w:ind w:firstLine="422"/>
        <w:rPr>
          <w:rFonts w:ascii="宋体" w:hAnsi="宋体" w:cs="宋体"/>
          <w:b/>
          <w:color w:val="auto"/>
          <w:szCs w:val="21"/>
        </w:rPr>
      </w:pPr>
    </w:p>
    <w:p>
      <w:pPr>
        <w:spacing w:line="400" w:lineRule="exact"/>
        <w:ind w:firstLine="422"/>
        <w:rPr>
          <w:rFonts w:ascii="宋体" w:hAnsi="宋体" w:cs="宋体"/>
          <w:b/>
          <w:color w:val="auto"/>
          <w:szCs w:val="21"/>
        </w:rPr>
      </w:pPr>
    </w:p>
    <w:p>
      <w:pPr>
        <w:spacing w:line="400" w:lineRule="exact"/>
        <w:ind w:firstLine="422"/>
        <w:rPr>
          <w:rFonts w:ascii="宋体" w:hAnsi="宋体" w:cs="宋体"/>
          <w:b/>
          <w:color w:val="auto"/>
          <w:szCs w:val="21"/>
        </w:rPr>
      </w:pPr>
    </w:p>
    <w:p>
      <w:pPr>
        <w:spacing w:line="400" w:lineRule="exact"/>
        <w:ind w:firstLine="422"/>
        <w:rPr>
          <w:rFonts w:ascii="宋体" w:hAnsi="宋体" w:cs="宋体"/>
          <w:b/>
          <w:color w:val="auto"/>
          <w:szCs w:val="21"/>
        </w:rPr>
      </w:pPr>
    </w:p>
    <w:p>
      <w:pPr>
        <w:spacing w:line="400" w:lineRule="exact"/>
        <w:ind w:firstLine="422"/>
        <w:rPr>
          <w:rFonts w:ascii="宋体" w:hAnsi="宋体" w:cs="宋体"/>
          <w:b/>
          <w:color w:val="auto"/>
          <w:szCs w:val="21"/>
        </w:rPr>
      </w:pPr>
    </w:p>
    <w:p>
      <w:pPr>
        <w:spacing w:line="400" w:lineRule="exact"/>
        <w:ind w:firstLine="422"/>
        <w:rPr>
          <w:rFonts w:ascii="宋体" w:hAnsi="宋体" w:cs="宋体"/>
          <w:b/>
          <w:color w:val="auto"/>
          <w:szCs w:val="21"/>
        </w:rPr>
      </w:pPr>
    </w:p>
    <w:p>
      <w:pPr>
        <w:spacing w:line="400" w:lineRule="exact"/>
        <w:ind w:firstLine="422"/>
        <w:rPr>
          <w:rFonts w:ascii="宋体" w:hAnsi="宋体" w:cs="宋体"/>
          <w:b/>
          <w:color w:val="auto"/>
          <w:szCs w:val="21"/>
        </w:rPr>
      </w:pPr>
    </w:p>
    <w:p>
      <w:pPr>
        <w:spacing w:line="400" w:lineRule="exact"/>
        <w:ind w:firstLine="422"/>
        <w:rPr>
          <w:rFonts w:ascii="宋体" w:hAnsi="宋体" w:cs="宋体"/>
          <w:b/>
          <w:color w:val="auto"/>
          <w:szCs w:val="21"/>
        </w:rPr>
      </w:pPr>
      <w:r>
        <w:rPr>
          <w:rFonts w:hint="eastAsia" w:ascii="宋体" w:hAnsi="宋体" w:cs="宋体"/>
          <w:b/>
          <w:color w:val="auto"/>
          <w:szCs w:val="21"/>
        </w:rPr>
        <w:t>说明：</w:t>
      </w:r>
    </w:p>
    <w:p>
      <w:pPr>
        <w:spacing w:before="120" w:after="120" w:line="400" w:lineRule="exact"/>
        <w:ind w:firstLine="420" w:firstLineChars="200"/>
        <w:rPr>
          <w:rFonts w:ascii="宋体" w:hAnsi="宋体" w:cs="宋体"/>
          <w:color w:val="auto"/>
          <w:szCs w:val="21"/>
        </w:rPr>
      </w:pPr>
      <w:r>
        <w:rPr>
          <w:rFonts w:hint="eastAsia" w:ascii="宋体" w:hAnsi="宋体" w:cs="宋体"/>
          <w:color w:val="auto"/>
          <w:szCs w:val="21"/>
        </w:rPr>
        <w:t>供应商提交的磋商保证金应采用磋商文件中规定的形式，并在此提供相应凭证的复印件，提供开户许可证或基本存款账户信息。</w:t>
      </w:r>
    </w:p>
    <w:p>
      <w:pPr>
        <w:spacing w:before="120" w:after="120" w:line="400" w:lineRule="exact"/>
        <w:ind w:firstLine="420" w:firstLineChars="200"/>
        <w:rPr>
          <w:rFonts w:ascii="宋体" w:hAnsi="宋体" w:cs="宋体"/>
          <w:color w:val="auto"/>
          <w:szCs w:val="21"/>
        </w:rPr>
      </w:pPr>
    </w:p>
    <w:p>
      <w:pPr>
        <w:spacing w:before="120" w:after="120" w:line="400" w:lineRule="exact"/>
        <w:ind w:firstLine="420" w:firstLineChars="200"/>
        <w:rPr>
          <w:rFonts w:ascii="宋体" w:hAnsi="宋体" w:cs="宋体"/>
          <w:color w:val="auto"/>
          <w:szCs w:val="21"/>
        </w:rPr>
      </w:pPr>
    </w:p>
    <w:p>
      <w:pPr>
        <w:spacing w:before="120" w:after="120" w:line="400" w:lineRule="exact"/>
        <w:ind w:firstLine="420" w:firstLineChars="200"/>
        <w:rPr>
          <w:rFonts w:ascii="宋体" w:hAnsi="宋体" w:cs="宋体"/>
          <w:color w:val="auto"/>
          <w:szCs w:val="21"/>
        </w:rPr>
      </w:pPr>
      <w:r>
        <w:rPr>
          <w:rFonts w:hint="eastAsia" w:ascii="宋体" w:hAnsi="宋体" w:cs="宋体"/>
          <w:color w:val="auto"/>
          <w:szCs w:val="21"/>
        </w:rPr>
        <w:t xml:space="preserve">供应商名称（公章）： </w:t>
      </w:r>
    </w:p>
    <w:p>
      <w:pPr>
        <w:spacing w:before="120" w:after="120" w:line="400" w:lineRule="exact"/>
        <w:ind w:firstLine="420" w:firstLineChars="200"/>
        <w:rPr>
          <w:rFonts w:ascii="宋体" w:hAnsi="宋体" w:cs="宋体"/>
          <w:color w:val="auto"/>
          <w:szCs w:val="21"/>
        </w:rPr>
      </w:pPr>
      <w:r>
        <w:rPr>
          <w:rFonts w:hint="eastAsia" w:ascii="宋体" w:hAnsi="宋体" w:cs="宋体"/>
          <w:color w:val="auto"/>
          <w:szCs w:val="21"/>
        </w:rPr>
        <w:t>法定代表人或其授权代表（签字或加盖人名章）：</w:t>
      </w:r>
    </w:p>
    <w:p>
      <w:pPr>
        <w:spacing w:before="120" w:after="120" w:line="400" w:lineRule="exact"/>
        <w:ind w:firstLine="420" w:firstLineChars="200"/>
        <w:rPr>
          <w:rFonts w:ascii="宋体" w:hAnsi="宋体" w:cs="宋体"/>
          <w:color w:val="auto"/>
          <w:szCs w:val="21"/>
        </w:rPr>
      </w:pPr>
      <w:r>
        <w:rPr>
          <w:rFonts w:hint="eastAsia" w:ascii="宋体" w:hAnsi="宋体" w:cs="宋体"/>
          <w:color w:val="auto"/>
          <w:szCs w:val="21"/>
        </w:rPr>
        <w:t>日    期：     年   月    日</w:t>
      </w:r>
    </w:p>
    <w:p>
      <w:pPr>
        <w:spacing w:line="480" w:lineRule="exact"/>
        <w:ind w:firstLine="482" w:firstLineChars="200"/>
        <w:rPr>
          <w:rFonts w:ascii="宋体" w:hAnsi="宋体" w:cs="宋体"/>
          <w:b/>
          <w:color w:val="auto"/>
          <w:kern w:val="0"/>
          <w:sz w:val="24"/>
          <w:szCs w:val="28"/>
        </w:rPr>
        <w:sectPr>
          <w:footerReference r:id="rId4" w:type="default"/>
          <w:pgSz w:w="11906" w:h="16838"/>
          <w:pgMar w:top="1270" w:right="1247" w:bottom="1247" w:left="1247" w:header="851" w:footer="874" w:gutter="0"/>
          <w:cols w:space="720" w:num="1"/>
          <w:docGrid w:type="lines" w:linePitch="312" w:charSpace="0"/>
        </w:sectPr>
      </w:pPr>
    </w:p>
    <w:p>
      <w:pPr>
        <w:pStyle w:val="444"/>
        <w:numPr>
          <w:ilvl w:val="0"/>
          <w:numId w:val="15"/>
        </w:numPr>
        <w:spacing w:line="360" w:lineRule="auto"/>
        <w:ind w:left="1276" w:hanging="1276" w:firstLineChars="0"/>
        <w:outlineLvl w:val="2"/>
        <w:rPr>
          <w:rFonts w:asciiTheme="minorEastAsia" w:hAnsiTheme="minorEastAsia" w:eastAsiaTheme="minorEastAsia" w:cstheme="minorEastAsia"/>
          <w:color w:val="auto"/>
          <w:sz w:val="24"/>
        </w:rPr>
      </w:pPr>
      <w:bookmarkStart w:id="216" w:name="_Toc4433586"/>
      <w:bookmarkStart w:id="217" w:name="_Toc11809"/>
      <w:bookmarkStart w:id="218" w:name="_Toc143577473"/>
      <w:bookmarkStart w:id="219" w:name="_Toc468781351"/>
      <w:r>
        <w:rPr>
          <w:rFonts w:hint="eastAsia" w:asciiTheme="minorEastAsia" w:hAnsiTheme="minorEastAsia" w:eastAsiaTheme="minorEastAsia" w:cstheme="minorEastAsia"/>
          <w:b/>
          <w:color w:val="auto"/>
          <w:sz w:val="24"/>
        </w:rPr>
        <w:t>分项报价表（适用于货物）</w:t>
      </w:r>
      <w:bookmarkEnd w:id="216"/>
      <w:bookmarkEnd w:id="217"/>
    </w:p>
    <w:p>
      <w:pPr>
        <w:spacing w:line="360" w:lineRule="auto"/>
        <w:outlineLvl w:val="2"/>
        <w:rPr>
          <w:rFonts w:asciiTheme="minorEastAsia" w:hAnsiTheme="minorEastAsia" w:eastAsiaTheme="minorEastAsia" w:cstheme="minorEastAsia"/>
          <w:color w:val="auto"/>
          <w:sz w:val="24"/>
        </w:rPr>
      </w:pPr>
      <w:bookmarkStart w:id="220" w:name="_Toc4454"/>
      <w:bookmarkStart w:id="221" w:name="_Toc4433587"/>
      <w:r>
        <w:rPr>
          <w:rFonts w:hint="eastAsia" w:asciiTheme="minorEastAsia" w:hAnsiTheme="minorEastAsia" w:eastAsiaTheme="minorEastAsia" w:cstheme="minorEastAsia"/>
          <w:color w:val="auto"/>
          <w:sz w:val="24"/>
        </w:rPr>
        <w:t>附件5-1   货物分项报价表</w:t>
      </w:r>
      <w:bookmarkEnd w:id="220"/>
      <w:bookmarkEnd w:id="221"/>
    </w:p>
    <w:p>
      <w:pPr>
        <w:spacing w:line="480" w:lineRule="exact"/>
        <w:ind w:firstLine="482" w:firstLineChars="200"/>
        <w:jc w:val="center"/>
        <w:rPr>
          <w:rFonts w:asciiTheme="minorEastAsia" w:hAnsiTheme="minorEastAsia" w:eastAsiaTheme="minorEastAsia" w:cstheme="minorEastAsia"/>
          <w:b/>
          <w:color w:val="auto"/>
          <w:kern w:val="0"/>
          <w:sz w:val="24"/>
          <w:szCs w:val="28"/>
        </w:rPr>
      </w:pPr>
      <w:r>
        <w:rPr>
          <w:rFonts w:hint="eastAsia" w:asciiTheme="minorEastAsia" w:hAnsiTheme="minorEastAsia" w:eastAsiaTheme="minorEastAsia" w:cstheme="minorEastAsia"/>
          <w:b/>
          <w:color w:val="auto"/>
          <w:kern w:val="0"/>
          <w:sz w:val="24"/>
          <w:szCs w:val="28"/>
        </w:rPr>
        <w:t>货物分项报价表</w:t>
      </w:r>
    </w:p>
    <w:tbl>
      <w:tblPr>
        <w:tblStyle w:val="74"/>
        <w:tblW w:w="13696"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9"/>
        <w:gridCol w:w="1233"/>
        <w:gridCol w:w="1041"/>
        <w:gridCol w:w="1088"/>
        <w:gridCol w:w="957"/>
        <w:gridCol w:w="851"/>
        <w:gridCol w:w="851"/>
        <w:gridCol w:w="850"/>
        <w:gridCol w:w="1843"/>
        <w:gridCol w:w="850"/>
        <w:gridCol w:w="992"/>
        <w:gridCol w:w="170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9" w:type="dxa"/>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1</w:t>
            </w:r>
          </w:p>
        </w:tc>
        <w:tc>
          <w:tcPr>
            <w:tcW w:w="1233" w:type="dxa"/>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2</w:t>
            </w:r>
          </w:p>
        </w:tc>
        <w:tc>
          <w:tcPr>
            <w:tcW w:w="1041" w:type="dxa"/>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3</w:t>
            </w:r>
          </w:p>
        </w:tc>
        <w:tc>
          <w:tcPr>
            <w:tcW w:w="1088" w:type="dxa"/>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4</w:t>
            </w:r>
          </w:p>
        </w:tc>
        <w:tc>
          <w:tcPr>
            <w:tcW w:w="957" w:type="dxa"/>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5</w:t>
            </w:r>
          </w:p>
        </w:tc>
        <w:tc>
          <w:tcPr>
            <w:tcW w:w="851" w:type="dxa"/>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6</w:t>
            </w:r>
          </w:p>
        </w:tc>
        <w:tc>
          <w:tcPr>
            <w:tcW w:w="851" w:type="dxa"/>
            <w:tcBorders>
              <w:right w:val="single" w:color="auto" w:sz="4" w:space="0"/>
            </w:tcBorders>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7</w:t>
            </w:r>
          </w:p>
        </w:tc>
        <w:tc>
          <w:tcPr>
            <w:tcW w:w="850" w:type="dxa"/>
            <w:tcBorders>
              <w:left w:val="single" w:color="auto" w:sz="4" w:space="0"/>
            </w:tcBorders>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8</w:t>
            </w:r>
          </w:p>
        </w:tc>
        <w:tc>
          <w:tcPr>
            <w:tcW w:w="1843" w:type="dxa"/>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9</w:t>
            </w:r>
          </w:p>
        </w:tc>
        <w:tc>
          <w:tcPr>
            <w:tcW w:w="850" w:type="dxa"/>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10</w:t>
            </w:r>
          </w:p>
        </w:tc>
        <w:tc>
          <w:tcPr>
            <w:tcW w:w="992" w:type="dxa"/>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11</w:t>
            </w:r>
          </w:p>
        </w:tc>
        <w:tc>
          <w:tcPr>
            <w:tcW w:w="1701" w:type="dxa"/>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12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9" w:type="dxa"/>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货物名称</w:t>
            </w:r>
          </w:p>
        </w:tc>
        <w:tc>
          <w:tcPr>
            <w:tcW w:w="1233" w:type="dxa"/>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规格型号</w:t>
            </w:r>
          </w:p>
        </w:tc>
        <w:tc>
          <w:tcPr>
            <w:tcW w:w="1041" w:type="dxa"/>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制造商</w:t>
            </w:r>
          </w:p>
        </w:tc>
        <w:tc>
          <w:tcPr>
            <w:tcW w:w="1088" w:type="dxa"/>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出厂价</w:t>
            </w:r>
          </w:p>
        </w:tc>
        <w:tc>
          <w:tcPr>
            <w:tcW w:w="957" w:type="dxa"/>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运输费</w:t>
            </w:r>
          </w:p>
        </w:tc>
        <w:tc>
          <w:tcPr>
            <w:tcW w:w="851" w:type="dxa"/>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保险费</w:t>
            </w:r>
          </w:p>
        </w:tc>
        <w:tc>
          <w:tcPr>
            <w:tcW w:w="851" w:type="dxa"/>
            <w:tcBorders>
              <w:right w:val="single" w:color="auto" w:sz="4" w:space="0"/>
            </w:tcBorders>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装卸费</w:t>
            </w:r>
          </w:p>
        </w:tc>
        <w:tc>
          <w:tcPr>
            <w:tcW w:w="850" w:type="dxa"/>
            <w:tcBorders>
              <w:left w:val="single" w:color="auto" w:sz="4" w:space="0"/>
            </w:tcBorders>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其他费用</w:t>
            </w:r>
          </w:p>
        </w:tc>
        <w:tc>
          <w:tcPr>
            <w:tcW w:w="1843" w:type="dxa"/>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设备单价</w:t>
            </w:r>
          </w:p>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（现场落地/车板价）</w:t>
            </w:r>
          </w:p>
        </w:tc>
        <w:tc>
          <w:tcPr>
            <w:tcW w:w="850" w:type="dxa"/>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单位</w:t>
            </w:r>
          </w:p>
        </w:tc>
        <w:tc>
          <w:tcPr>
            <w:tcW w:w="992" w:type="dxa"/>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数量</w:t>
            </w:r>
          </w:p>
        </w:tc>
        <w:tc>
          <w:tcPr>
            <w:tcW w:w="1701" w:type="dxa"/>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设备总价</w:t>
            </w:r>
          </w:p>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（现场落地/车板价）</w:t>
            </w:r>
          </w:p>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12=11×9</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9" w:type="dxa"/>
            <w:vAlign w:val="center"/>
          </w:tcPr>
          <w:p>
            <w:pPr>
              <w:snapToGrid w:val="0"/>
              <w:jc w:val="center"/>
              <w:rPr>
                <w:rFonts w:asciiTheme="minorEastAsia" w:hAnsiTheme="minorEastAsia" w:eastAsiaTheme="minorEastAsia" w:cstheme="minorEastAsia"/>
                <w:color w:val="auto"/>
                <w:szCs w:val="21"/>
              </w:rPr>
            </w:pPr>
          </w:p>
        </w:tc>
        <w:tc>
          <w:tcPr>
            <w:tcW w:w="1233" w:type="dxa"/>
            <w:vAlign w:val="center"/>
          </w:tcPr>
          <w:p>
            <w:pPr>
              <w:snapToGrid w:val="0"/>
              <w:jc w:val="center"/>
              <w:rPr>
                <w:rFonts w:asciiTheme="minorEastAsia" w:hAnsiTheme="minorEastAsia" w:eastAsiaTheme="minorEastAsia" w:cstheme="minorEastAsia"/>
                <w:color w:val="auto"/>
                <w:szCs w:val="21"/>
              </w:rPr>
            </w:pPr>
          </w:p>
        </w:tc>
        <w:tc>
          <w:tcPr>
            <w:tcW w:w="1041" w:type="dxa"/>
            <w:vAlign w:val="center"/>
          </w:tcPr>
          <w:p>
            <w:pPr>
              <w:snapToGrid w:val="0"/>
              <w:jc w:val="center"/>
              <w:rPr>
                <w:rFonts w:asciiTheme="minorEastAsia" w:hAnsiTheme="minorEastAsia" w:eastAsiaTheme="minorEastAsia" w:cstheme="minorEastAsia"/>
                <w:color w:val="auto"/>
                <w:szCs w:val="21"/>
              </w:rPr>
            </w:pPr>
          </w:p>
        </w:tc>
        <w:tc>
          <w:tcPr>
            <w:tcW w:w="1088" w:type="dxa"/>
            <w:vAlign w:val="center"/>
          </w:tcPr>
          <w:p>
            <w:pPr>
              <w:snapToGrid w:val="0"/>
              <w:jc w:val="center"/>
              <w:rPr>
                <w:rFonts w:asciiTheme="minorEastAsia" w:hAnsiTheme="minorEastAsia" w:eastAsiaTheme="minorEastAsia" w:cstheme="minorEastAsia"/>
                <w:color w:val="auto"/>
                <w:szCs w:val="21"/>
              </w:rPr>
            </w:pPr>
          </w:p>
        </w:tc>
        <w:tc>
          <w:tcPr>
            <w:tcW w:w="957" w:type="dxa"/>
            <w:vAlign w:val="center"/>
          </w:tcPr>
          <w:p>
            <w:pPr>
              <w:snapToGrid w:val="0"/>
              <w:jc w:val="center"/>
              <w:rPr>
                <w:rFonts w:asciiTheme="minorEastAsia" w:hAnsiTheme="minorEastAsia" w:eastAsiaTheme="minorEastAsia" w:cstheme="minorEastAsia"/>
                <w:color w:val="auto"/>
                <w:szCs w:val="21"/>
              </w:rPr>
            </w:pPr>
          </w:p>
        </w:tc>
        <w:tc>
          <w:tcPr>
            <w:tcW w:w="851" w:type="dxa"/>
            <w:vAlign w:val="center"/>
          </w:tcPr>
          <w:p>
            <w:pPr>
              <w:snapToGrid w:val="0"/>
              <w:jc w:val="center"/>
              <w:rPr>
                <w:rFonts w:asciiTheme="minorEastAsia" w:hAnsiTheme="minorEastAsia" w:eastAsiaTheme="minorEastAsia" w:cstheme="minorEastAsia"/>
                <w:color w:val="auto"/>
                <w:szCs w:val="21"/>
              </w:rPr>
            </w:pPr>
          </w:p>
        </w:tc>
        <w:tc>
          <w:tcPr>
            <w:tcW w:w="851" w:type="dxa"/>
            <w:tcBorders>
              <w:right w:val="single" w:color="auto" w:sz="4" w:space="0"/>
            </w:tcBorders>
            <w:vAlign w:val="center"/>
          </w:tcPr>
          <w:p>
            <w:pPr>
              <w:snapToGrid w:val="0"/>
              <w:jc w:val="center"/>
              <w:rPr>
                <w:rFonts w:asciiTheme="minorEastAsia" w:hAnsiTheme="minorEastAsia" w:eastAsiaTheme="minorEastAsia" w:cstheme="minorEastAsia"/>
                <w:color w:val="auto"/>
                <w:szCs w:val="21"/>
              </w:rPr>
            </w:pPr>
          </w:p>
        </w:tc>
        <w:tc>
          <w:tcPr>
            <w:tcW w:w="850" w:type="dxa"/>
            <w:tcBorders>
              <w:left w:val="single" w:color="auto" w:sz="4" w:space="0"/>
            </w:tcBorders>
            <w:vAlign w:val="center"/>
          </w:tcPr>
          <w:p>
            <w:pPr>
              <w:snapToGrid w:val="0"/>
              <w:jc w:val="center"/>
              <w:rPr>
                <w:rFonts w:asciiTheme="minorEastAsia" w:hAnsiTheme="minorEastAsia" w:eastAsiaTheme="minorEastAsia" w:cstheme="minorEastAsia"/>
                <w:color w:val="auto"/>
                <w:szCs w:val="21"/>
              </w:rPr>
            </w:pPr>
          </w:p>
        </w:tc>
        <w:tc>
          <w:tcPr>
            <w:tcW w:w="1843" w:type="dxa"/>
            <w:vAlign w:val="center"/>
          </w:tcPr>
          <w:p>
            <w:pPr>
              <w:snapToGrid w:val="0"/>
              <w:jc w:val="center"/>
              <w:rPr>
                <w:rFonts w:asciiTheme="minorEastAsia" w:hAnsiTheme="minorEastAsia" w:eastAsiaTheme="minorEastAsia" w:cstheme="minorEastAsia"/>
                <w:color w:val="auto"/>
                <w:szCs w:val="21"/>
              </w:rPr>
            </w:pPr>
          </w:p>
        </w:tc>
        <w:tc>
          <w:tcPr>
            <w:tcW w:w="850" w:type="dxa"/>
            <w:vAlign w:val="center"/>
          </w:tcPr>
          <w:p>
            <w:pPr>
              <w:snapToGrid w:val="0"/>
              <w:jc w:val="center"/>
              <w:rPr>
                <w:rFonts w:asciiTheme="minorEastAsia" w:hAnsiTheme="minorEastAsia" w:eastAsiaTheme="minorEastAsia" w:cstheme="minorEastAsia"/>
                <w:color w:val="auto"/>
                <w:szCs w:val="21"/>
              </w:rPr>
            </w:pPr>
          </w:p>
        </w:tc>
        <w:tc>
          <w:tcPr>
            <w:tcW w:w="992" w:type="dxa"/>
            <w:vAlign w:val="center"/>
          </w:tcPr>
          <w:p>
            <w:pPr>
              <w:snapToGrid w:val="0"/>
              <w:jc w:val="center"/>
              <w:rPr>
                <w:rFonts w:asciiTheme="minorEastAsia" w:hAnsiTheme="minorEastAsia" w:eastAsiaTheme="minorEastAsia" w:cstheme="minorEastAsia"/>
                <w:color w:val="auto"/>
                <w:szCs w:val="21"/>
              </w:rPr>
            </w:pPr>
          </w:p>
        </w:tc>
        <w:tc>
          <w:tcPr>
            <w:tcW w:w="1701" w:type="dxa"/>
            <w:vAlign w:val="center"/>
          </w:tcPr>
          <w:p>
            <w:pPr>
              <w:snapToGrid w:val="0"/>
              <w:jc w:val="center"/>
              <w:rPr>
                <w:rFonts w:asciiTheme="minorEastAsia" w:hAnsiTheme="minorEastAsia" w:eastAsiaTheme="minorEastAsia" w:cstheme="minorEastAsia"/>
                <w:color w:val="auto"/>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9" w:type="dxa"/>
            <w:vAlign w:val="center"/>
          </w:tcPr>
          <w:p>
            <w:pPr>
              <w:snapToGrid w:val="0"/>
              <w:jc w:val="center"/>
              <w:rPr>
                <w:rFonts w:asciiTheme="minorEastAsia" w:hAnsiTheme="minorEastAsia" w:eastAsiaTheme="minorEastAsia" w:cstheme="minorEastAsia"/>
                <w:color w:val="auto"/>
                <w:szCs w:val="21"/>
              </w:rPr>
            </w:pPr>
          </w:p>
        </w:tc>
        <w:tc>
          <w:tcPr>
            <w:tcW w:w="1233" w:type="dxa"/>
            <w:vAlign w:val="center"/>
          </w:tcPr>
          <w:p>
            <w:pPr>
              <w:snapToGrid w:val="0"/>
              <w:jc w:val="center"/>
              <w:rPr>
                <w:rFonts w:asciiTheme="minorEastAsia" w:hAnsiTheme="minorEastAsia" w:eastAsiaTheme="minorEastAsia" w:cstheme="minorEastAsia"/>
                <w:color w:val="auto"/>
                <w:szCs w:val="21"/>
              </w:rPr>
            </w:pPr>
          </w:p>
        </w:tc>
        <w:tc>
          <w:tcPr>
            <w:tcW w:w="1041" w:type="dxa"/>
            <w:vAlign w:val="center"/>
          </w:tcPr>
          <w:p>
            <w:pPr>
              <w:snapToGrid w:val="0"/>
              <w:jc w:val="center"/>
              <w:rPr>
                <w:rFonts w:asciiTheme="minorEastAsia" w:hAnsiTheme="minorEastAsia" w:eastAsiaTheme="minorEastAsia" w:cstheme="minorEastAsia"/>
                <w:color w:val="auto"/>
                <w:szCs w:val="21"/>
              </w:rPr>
            </w:pPr>
          </w:p>
        </w:tc>
        <w:tc>
          <w:tcPr>
            <w:tcW w:w="1088" w:type="dxa"/>
            <w:vAlign w:val="center"/>
          </w:tcPr>
          <w:p>
            <w:pPr>
              <w:snapToGrid w:val="0"/>
              <w:jc w:val="center"/>
              <w:rPr>
                <w:rFonts w:asciiTheme="minorEastAsia" w:hAnsiTheme="minorEastAsia" w:eastAsiaTheme="minorEastAsia" w:cstheme="minorEastAsia"/>
                <w:color w:val="auto"/>
                <w:szCs w:val="21"/>
              </w:rPr>
            </w:pPr>
          </w:p>
        </w:tc>
        <w:tc>
          <w:tcPr>
            <w:tcW w:w="957" w:type="dxa"/>
            <w:vAlign w:val="center"/>
          </w:tcPr>
          <w:p>
            <w:pPr>
              <w:snapToGrid w:val="0"/>
              <w:jc w:val="center"/>
              <w:rPr>
                <w:rFonts w:asciiTheme="minorEastAsia" w:hAnsiTheme="minorEastAsia" w:eastAsiaTheme="minorEastAsia" w:cstheme="minorEastAsia"/>
                <w:color w:val="auto"/>
                <w:szCs w:val="21"/>
              </w:rPr>
            </w:pPr>
          </w:p>
        </w:tc>
        <w:tc>
          <w:tcPr>
            <w:tcW w:w="851" w:type="dxa"/>
            <w:vAlign w:val="center"/>
          </w:tcPr>
          <w:p>
            <w:pPr>
              <w:snapToGrid w:val="0"/>
              <w:jc w:val="center"/>
              <w:rPr>
                <w:rFonts w:asciiTheme="minorEastAsia" w:hAnsiTheme="minorEastAsia" w:eastAsiaTheme="minorEastAsia" w:cstheme="minorEastAsia"/>
                <w:color w:val="auto"/>
                <w:szCs w:val="21"/>
              </w:rPr>
            </w:pPr>
          </w:p>
        </w:tc>
        <w:tc>
          <w:tcPr>
            <w:tcW w:w="851" w:type="dxa"/>
            <w:tcBorders>
              <w:right w:val="single" w:color="auto" w:sz="4" w:space="0"/>
            </w:tcBorders>
            <w:vAlign w:val="center"/>
          </w:tcPr>
          <w:p>
            <w:pPr>
              <w:snapToGrid w:val="0"/>
              <w:jc w:val="center"/>
              <w:rPr>
                <w:rFonts w:asciiTheme="minorEastAsia" w:hAnsiTheme="minorEastAsia" w:eastAsiaTheme="minorEastAsia" w:cstheme="minorEastAsia"/>
                <w:color w:val="auto"/>
                <w:szCs w:val="21"/>
              </w:rPr>
            </w:pPr>
          </w:p>
        </w:tc>
        <w:tc>
          <w:tcPr>
            <w:tcW w:w="850" w:type="dxa"/>
            <w:tcBorders>
              <w:left w:val="single" w:color="auto" w:sz="4" w:space="0"/>
            </w:tcBorders>
            <w:vAlign w:val="center"/>
          </w:tcPr>
          <w:p>
            <w:pPr>
              <w:snapToGrid w:val="0"/>
              <w:jc w:val="center"/>
              <w:rPr>
                <w:rFonts w:asciiTheme="minorEastAsia" w:hAnsiTheme="minorEastAsia" w:eastAsiaTheme="minorEastAsia" w:cstheme="minorEastAsia"/>
                <w:color w:val="auto"/>
                <w:szCs w:val="21"/>
              </w:rPr>
            </w:pPr>
          </w:p>
        </w:tc>
        <w:tc>
          <w:tcPr>
            <w:tcW w:w="1843" w:type="dxa"/>
            <w:vAlign w:val="center"/>
          </w:tcPr>
          <w:p>
            <w:pPr>
              <w:snapToGrid w:val="0"/>
              <w:jc w:val="center"/>
              <w:rPr>
                <w:rFonts w:asciiTheme="minorEastAsia" w:hAnsiTheme="minorEastAsia" w:eastAsiaTheme="minorEastAsia" w:cstheme="minorEastAsia"/>
                <w:color w:val="auto"/>
                <w:szCs w:val="21"/>
              </w:rPr>
            </w:pPr>
          </w:p>
        </w:tc>
        <w:tc>
          <w:tcPr>
            <w:tcW w:w="850" w:type="dxa"/>
            <w:vAlign w:val="center"/>
          </w:tcPr>
          <w:p>
            <w:pPr>
              <w:snapToGrid w:val="0"/>
              <w:jc w:val="center"/>
              <w:rPr>
                <w:rFonts w:asciiTheme="minorEastAsia" w:hAnsiTheme="minorEastAsia" w:eastAsiaTheme="minorEastAsia" w:cstheme="minorEastAsia"/>
                <w:color w:val="auto"/>
                <w:szCs w:val="21"/>
              </w:rPr>
            </w:pPr>
          </w:p>
        </w:tc>
        <w:tc>
          <w:tcPr>
            <w:tcW w:w="992" w:type="dxa"/>
            <w:vAlign w:val="center"/>
          </w:tcPr>
          <w:p>
            <w:pPr>
              <w:snapToGrid w:val="0"/>
              <w:jc w:val="center"/>
              <w:rPr>
                <w:rFonts w:asciiTheme="minorEastAsia" w:hAnsiTheme="minorEastAsia" w:eastAsiaTheme="minorEastAsia" w:cstheme="minorEastAsia"/>
                <w:color w:val="auto"/>
                <w:szCs w:val="21"/>
              </w:rPr>
            </w:pPr>
          </w:p>
        </w:tc>
        <w:tc>
          <w:tcPr>
            <w:tcW w:w="1701" w:type="dxa"/>
            <w:vAlign w:val="center"/>
          </w:tcPr>
          <w:p>
            <w:pPr>
              <w:snapToGrid w:val="0"/>
              <w:jc w:val="center"/>
              <w:rPr>
                <w:rFonts w:asciiTheme="minorEastAsia" w:hAnsiTheme="minorEastAsia" w:eastAsiaTheme="minorEastAsia" w:cstheme="minorEastAsia"/>
                <w:color w:val="auto"/>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9" w:type="dxa"/>
            <w:vAlign w:val="center"/>
          </w:tcPr>
          <w:p>
            <w:pPr>
              <w:snapToGrid w:val="0"/>
              <w:jc w:val="center"/>
              <w:rPr>
                <w:rFonts w:asciiTheme="minorEastAsia" w:hAnsiTheme="minorEastAsia" w:eastAsiaTheme="minorEastAsia" w:cstheme="minorEastAsia"/>
                <w:color w:val="auto"/>
                <w:szCs w:val="21"/>
              </w:rPr>
            </w:pPr>
          </w:p>
        </w:tc>
        <w:tc>
          <w:tcPr>
            <w:tcW w:w="1233" w:type="dxa"/>
            <w:vAlign w:val="center"/>
          </w:tcPr>
          <w:p>
            <w:pPr>
              <w:snapToGrid w:val="0"/>
              <w:jc w:val="center"/>
              <w:rPr>
                <w:rFonts w:asciiTheme="minorEastAsia" w:hAnsiTheme="minorEastAsia" w:eastAsiaTheme="minorEastAsia" w:cstheme="minorEastAsia"/>
                <w:color w:val="auto"/>
                <w:szCs w:val="21"/>
              </w:rPr>
            </w:pPr>
          </w:p>
        </w:tc>
        <w:tc>
          <w:tcPr>
            <w:tcW w:w="1041" w:type="dxa"/>
            <w:vAlign w:val="center"/>
          </w:tcPr>
          <w:p>
            <w:pPr>
              <w:snapToGrid w:val="0"/>
              <w:jc w:val="center"/>
              <w:rPr>
                <w:rFonts w:asciiTheme="minorEastAsia" w:hAnsiTheme="minorEastAsia" w:eastAsiaTheme="minorEastAsia" w:cstheme="minorEastAsia"/>
                <w:color w:val="auto"/>
                <w:szCs w:val="21"/>
              </w:rPr>
            </w:pPr>
          </w:p>
        </w:tc>
        <w:tc>
          <w:tcPr>
            <w:tcW w:w="1088" w:type="dxa"/>
            <w:vAlign w:val="center"/>
          </w:tcPr>
          <w:p>
            <w:pPr>
              <w:snapToGrid w:val="0"/>
              <w:jc w:val="center"/>
              <w:rPr>
                <w:rFonts w:asciiTheme="minorEastAsia" w:hAnsiTheme="minorEastAsia" w:eastAsiaTheme="minorEastAsia" w:cstheme="minorEastAsia"/>
                <w:color w:val="auto"/>
                <w:szCs w:val="21"/>
              </w:rPr>
            </w:pPr>
          </w:p>
        </w:tc>
        <w:tc>
          <w:tcPr>
            <w:tcW w:w="957" w:type="dxa"/>
            <w:vAlign w:val="center"/>
          </w:tcPr>
          <w:p>
            <w:pPr>
              <w:snapToGrid w:val="0"/>
              <w:jc w:val="center"/>
              <w:rPr>
                <w:rFonts w:asciiTheme="minorEastAsia" w:hAnsiTheme="minorEastAsia" w:eastAsiaTheme="minorEastAsia" w:cstheme="minorEastAsia"/>
                <w:color w:val="auto"/>
                <w:szCs w:val="21"/>
              </w:rPr>
            </w:pPr>
          </w:p>
        </w:tc>
        <w:tc>
          <w:tcPr>
            <w:tcW w:w="851" w:type="dxa"/>
            <w:vAlign w:val="center"/>
          </w:tcPr>
          <w:p>
            <w:pPr>
              <w:snapToGrid w:val="0"/>
              <w:jc w:val="center"/>
              <w:rPr>
                <w:rFonts w:asciiTheme="minorEastAsia" w:hAnsiTheme="minorEastAsia" w:eastAsiaTheme="minorEastAsia" w:cstheme="minorEastAsia"/>
                <w:color w:val="auto"/>
                <w:szCs w:val="21"/>
              </w:rPr>
            </w:pPr>
          </w:p>
        </w:tc>
        <w:tc>
          <w:tcPr>
            <w:tcW w:w="851" w:type="dxa"/>
            <w:tcBorders>
              <w:right w:val="single" w:color="auto" w:sz="4" w:space="0"/>
            </w:tcBorders>
            <w:vAlign w:val="center"/>
          </w:tcPr>
          <w:p>
            <w:pPr>
              <w:snapToGrid w:val="0"/>
              <w:jc w:val="center"/>
              <w:rPr>
                <w:rFonts w:asciiTheme="minorEastAsia" w:hAnsiTheme="minorEastAsia" w:eastAsiaTheme="minorEastAsia" w:cstheme="minorEastAsia"/>
                <w:color w:val="auto"/>
                <w:szCs w:val="21"/>
              </w:rPr>
            </w:pPr>
          </w:p>
        </w:tc>
        <w:tc>
          <w:tcPr>
            <w:tcW w:w="850" w:type="dxa"/>
            <w:tcBorders>
              <w:left w:val="single" w:color="auto" w:sz="4" w:space="0"/>
            </w:tcBorders>
            <w:vAlign w:val="center"/>
          </w:tcPr>
          <w:p>
            <w:pPr>
              <w:snapToGrid w:val="0"/>
              <w:jc w:val="center"/>
              <w:rPr>
                <w:rFonts w:asciiTheme="minorEastAsia" w:hAnsiTheme="minorEastAsia" w:eastAsiaTheme="minorEastAsia" w:cstheme="minorEastAsia"/>
                <w:color w:val="auto"/>
                <w:szCs w:val="21"/>
              </w:rPr>
            </w:pPr>
          </w:p>
        </w:tc>
        <w:tc>
          <w:tcPr>
            <w:tcW w:w="1843" w:type="dxa"/>
            <w:vAlign w:val="center"/>
          </w:tcPr>
          <w:p>
            <w:pPr>
              <w:snapToGrid w:val="0"/>
              <w:jc w:val="center"/>
              <w:rPr>
                <w:rFonts w:asciiTheme="minorEastAsia" w:hAnsiTheme="minorEastAsia" w:eastAsiaTheme="minorEastAsia" w:cstheme="minorEastAsia"/>
                <w:color w:val="auto"/>
                <w:szCs w:val="21"/>
              </w:rPr>
            </w:pPr>
          </w:p>
        </w:tc>
        <w:tc>
          <w:tcPr>
            <w:tcW w:w="850" w:type="dxa"/>
            <w:vAlign w:val="center"/>
          </w:tcPr>
          <w:p>
            <w:pPr>
              <w:snapToGrid w:val="0"/>
              <w:jc w:val="center"/>
              <w:rPr>
                <w:rFonts w:asciiTheme="minorEastAsia" w:hAnsiTheme="minorEastAsia" w:eastAsiaTheme="minorEastAsia" w:cstheme="minorEastAsia"/>
                <w:color w:val="auto"/>
                <w:szCs w:val="21"/>
              </w:rPr>
            </w:pPr>
          </w:p>
        </w:tc>
        <w:tc>
          <w:tcPr>
            <w:tcW w:w="992" w:type="dxa"/>
            <w:vAlign w:val="center"/>
          </w:tcPr>
          <w:p>
            <w:pPr>
              <w:snapToGrid w:val="0"/>
              <w:jc w:val="center"/>
              <w:rPr>
                <w:rFonts w:asciiTheme="minorEastAsia" w:hAnsiTheme="minorEastAsia" w:eastAsiaTheme="minorEastAsia" w:cstheme="minorEastAsia"/>
                <w:color w:val="auto"/>
                <w:szCs w:val="21"/>
              </w:rPr>
            </w:pPr>
          </w:p>
        </w:tc>
        <w:tc>
          <w:tcPr>
            <w:tcW w:w="1701" w:type="dxa"/>
            <w:vAlign w:val="center"/>
          </w:tcPr>
          <w:p>
            <w:pPr>
              <w:snapToGrid w:val="0"/>
              <w:jc w:val="center"/>
              <w:rPr>
                <w:rFonts w:asciiTheme="minorEastAsia" w:hAnsiTheme="minorEastAsia" w:eastAsiaTheme="minorEastAsia" w:cstheme="minorEastAsia"/>
                <w:color w:val="auto"/>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9" w:type="dxa"/>
            <w:vAlign w:val="center"/>
          </w:tcPr>
          <w:p>
            <w:pPr>
              <w:snapToGrid w:val="0"/>
              <w:jc w:val="center"/>
              <w:rPr>
                <w:rFonts w:asciiTheme="minorEastAsia" w:hAnsiTheme="minorEastAsia" w:eastAsiaTheme="minorEastAsia" w:cstheme="minorEastAsia"/>
                <w:color w:val="auto"/>
                <w:szCs w:val="21"/>
              </w:rPr>
            </w:pPr>
          </w:p>
        </w:tc>
        <w:tc>
          <w:tcPr>
            <w:tcW w:w="1233" w:type="dxa"/>
            <w:vAlign w:val="center"/>
          </w:tcPr>
          <w:p>
            <w:pPr>
              <w:snapToGrid w:val="0"/>
              <w:jc w:val="center"/>
              <w:rPr>
                <w:rFonts w:asciiTheme="minorEastAsia" w:hAnsiTheme="minorEastAsia" w:eastAsiaTheme="minorEastAsia" w:cstheme="minorEastAsia"/>
                <w:color w:val="auto"/>
                <w:szCs w:val="21"/>
              </w:rPr>
            </w:pPr>
          </w:p>
        </w:tc>
        <w:tc>
          <w:tcPr>
            <w:tcW w:w="1041" w:type="dxa"/>
            <w:vAlign w:val="center"/>
          </w:tcPr>
          <w:p>
            <w:pPr>
              <w:snapToGrid w:val="0"/>
              <w:jc w:val="center"/>
              <w:rPr>
                <w:rFonts w:asciiTheme="minorEastAsia" w:hAnsiTheme="minorEastAsia" w:eastAsiaTheme="minorEastAsia" w:cstheme="minorEastAsia"/>
                <w:color w:val="auto"/>
                <w:szCs w:val="21"/>
              </w:rPr>
            </w:pPr>
          </w:p>
        </w:tc>
        <w:tc>
          <w:tcPr>
            <w:tcW w:w="1088" w:type="dxa"/>
            <w:vAlign w:val="center"/>
          </w:tcPr>
          <w:p>
            <w:pPr>
              <w:snapToGrid w:val="0"/>
              <w:jc w:val="center"/>
              <w:rPr>
                <w:rFonts w:asciiTheme="minorEastAsia" w:hAnsiTheme="minorEastAsia" w:eastAsiaTheme="minorEastAsia" w:cstheme="minorEastAsia"/>
                <w:color w:val="auto"/>
                <w:szCs w:val="21"/>
              </w:rPr>
            </w:pPr>
          </w:p>
        </w:tc>
        <w:tc>
          <w:tcPr>
            <w:tcW w:w="957" w:type="dxa"/>
            <w:vAlign w:val="center"/>
          </w:tcPr>
          <w:p>
            <w:pPr>
              <w:snapToGrid w:val="0"/>
              <w:jc w:val="center"/>
              <w:rPr>
                <w:rFonts w:asciiTheme="minorEastAsia" w:hAnsiTheme="minorEastAsia" w:eastAsiaTheme="minorEastAsia" w:cstheme="minorEastAsia"/>
                <w:color w:val="auto"/>
                <w:szCs w:val="21"/>
              </w:rPr>
            </w:pPr>
          </w:p>
        </w:tc>
        <w:tc>
          <w:tcPr>
            <w:tcW w:w="851" w:type="dxa"/>
            <w:vAlign w:val="center"/>
          </w:tcPr>
          <w:p>
            <w:pPr>
              <w:snapToGrid w:val="0"/>
              <w:jc w:val="center"/>
              <w:rPr>
                <w:rFonts w:asciiTheme="minorEastAsia" w:hAnsiTheme="minorEastAsia" w:eastAsiaTheme="minorEastAsia" w:cstheme="minorEastAsia"/>
                <w:color w:val="auto"/>
                <w:szCs w:val="21"/>
              </w:rPr>
            </w:pPr>
          </w:p>
        </w:tc>
        <w:tc>
          <w:tcPr>
            <w:tcW w:w="851" w:type="dxa"/>
            <w:tcBorders>
              <w:right w:val="single" w:color="auto" w:sz="4" w:space="0"/>
            </w:tcBorders>
            <w:vAlign w:val="center"/>
          </w:tcPr>
          <w:p>
            <w:pPr>
              <w:snapToGrid w:val="0"/>
              <w:jc w:val="center"/>
              <w:rPr>
                <w:rFonts w:asciiTheme="minorEastAsia" w:hAnsiTheme="minorEastAsia" w:eastAsiaTheme="minorEastAsia" w:cstheme="minorEastAsia"/>
                <w:color w:val="auto"/>
                <w:szCs w:val="21"/>
              </w:rPr>
            </w:pPr>
          </w:p>
        </w:tc>
        <w:tc>
          <w:tcPr>
            <w:tcW w:w="850" w:type="dxa"/>
            <w:tcBorders>
              <w:left w:val="single" w:color="auto" w:sz="4" w:space="0"/>
            </w:tcBorders>
            <w:vAlign w:val="center"/>
          </w:tcPr>
          <w:p>
            <w:pPr>
              <w:snapToGrid w:val="0"/>
              <w:jc w:val="center"/>
              <w:rPr>
                <w:rFonts w:asciiTheme="minorEastAsia" w:hAnsiTheme="minorEastAsia" w:eastAsiaTheme="minorEastAsia" w:cstheme="minorEastAsia"/>
                <w:color w:val="auto"/>
                <w:szCs w:val="21"/>
              </w:rPr>
            </w:pPr>
          </w:p>
        </w:tc>
        <w:tc>
          <w:tcPr>
            <w:tcW w:w="1843" w:type="dxa"/>
            <w:vAlign w:val="center"/>
          </w:tcPr>
          <w:p>
            <w:pPr>
              <w:snapToGrid w:val="0"/>
              <w:jc w:val="center"/>
              <w:rPr>
                <w:rFonts w:asciiTheme="minorEastAsia" w:hAnsiTheme="minorEastAsia" w:eastAsiaTheme="minorEastAsia" w:cstheme="minorEastAsia"/>
                <w:color w:val="auto"/>
                <w:szCs w:val="21"/>
              </w:rPr>
            </w:pPr>
          </w:p>
        </w:tc>
        <w:tc>
          <w:tcPr>
            <w:tcW w:w="850" w:type="dxa"/>
            <w:vAlign w:val="center"/>
          </w:tcPr>
          <w:p>
            <w:pPr>
              <w:snapToGrid w:val="0"/>
              <w:jc w:val="center"/>
              <w:rPr>
                <w:rFonts w:asciiTheme="minorEastAsia" w:hAnsiTheme="minorEastAsia" w:eastAsiaTheme="minorEastAsia" w:cstheme="minorEastAsia"/>
                <w:color w:val="auto"/>
                <w:szCs w:val="21"/>
              </w:rPr>
            </w:pPr>
          </w:p>
        </w:tc>
        <w:tc>
          <w:tcPr>
            <w:tcW w:w="992" w:type="dxa"/>
            <w:vAlign w:val="center"/>
          </w:tcPr>
          <w:p>
            <w:pPr>
              <w:snapToGrid w:val="0"/>
              <w:jc w:val="center"/>
              <w:rPr>
                <w:rFonts w:asciiTheme="minorEastAsia" w:hAnsiTheme="minorEastAsia" w:eastAsiaTheme="minorEastAsia" w:cstheme="minorEastAsia"/>
                <w:color w:val="auto"/>
                <w:szCs w:val="21"/>
              </w:rPr>
            </w:pPr>
          </w:p>
        </w:tc>
        <w:tc>
          <w:tcPr>
            <w:tcW w:w="1701" w:type="dxa"/>
            <w:vAlign w:val="center"/>
          </w:tcPr>
          <w:p>
            <w:pPr>
              <w:snapToGrid w:val="0"/>
              <w:jc w:val="center"/>
              <w:rPr>
                <w:rFonts w:asciiTheme="minorEastAsia" w:hAnsiTheme="minorEastAsia" w:eastAsiaTheme="minorEastAsia" w:cstheme="minorEastAsia"/>
                <w:color w:val="auto"/>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9" w:type="dxa"/>
            <w:vAlign w:val="center"/>
          </w:tcPr>
          <w:p>
            <w:pPr>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233" w:type="dxa"/>
            <w:vAlign w:val="center"/>
          </w:tcPr>
          <w:p>
            <w:pPr>
              <w:snapToGrid w:val="0"/>
              <w:jc w:val="center"/>
              <w:rPr>
                <w:rFonts w:asciiTheme="minorEastAsia" w:hAnsiTheme="minorEastAsia" w:eastAsiaTheme="minorEastAsia" w:cstheme="minorEastAsia"/>
                <w:color w:val="auto"/>
                <w:szCs w:val="21"/>
              </w:rPr>
            </w:pPr>
          </w:p>
        </w:tc>
        <w:tc>
          <w:tcPr>
            <w:tcW w:w="1041" w:type="dxa"/>
            <w:vAlign w:val="center"/>
          </w:tcPr>
          <w:p>
            <w:pPr>
              <w:snapToGrid w:val="0"/>
              <w:jc w:val="center"/>
              <w:rPr>
                <w:rFonts w:asciiTheme="minorEastAsia" w:hAnsiTheme="minorEastAsia" w:eastAsiaTheme="minorEastAsia" w:cstheme="minorEastAsia"/>
                <w:color w:val="auto"/>
                <w:szCs w:val="21"/>
              </w:rPr>
            </w:pPr>
          </w:p>
        </w:tc>
        <w:tc>
          <w:tcPr>
            <w:tcW w:w="1088" w:type="dxa"/>
            <w:vAlign w:val="center"/>
          </w:tcPr>
          <w:p>
            <w:pPr>
              <w:snapToGrid w:val="0"/>
              <w:jc w:val="center"/>
              <w:rPr>
                <w:rFonts w:asciiTheme="minorEastAsia" w:hAnsiTheme="minorEastAsia" w:eastAsiaTheme="minorEastAsia" w:cstheme="minorEastAsia"/>
                <w:color w:val="auto"/>
                <w:szCs w:val="21"/>
              </w:rPr>
            </w:pPr>
          </w:p>
        </w:tc>
        <w:tc>
          <w:tcPr>
            <w:tcW w:w="957" w:type="dxa"/>
            <w:vAlign w:val="center"/>
          </w:tcPr>
          <w:p>
            <w:pPr>
              <w:snapToGrid w:val="0"/>
              <w:jc w:val="center"/>
              <w:rPr>
                <w:rFonts w:asciiTheme="minorEastAsia" w:hAnsiTheme="minorEastAsia" w:eastAsiaTheme="minorEastAsia" w:cstheme="minorEastAsia"/>
                <w:color w:val="auto"/>
                <w:szCs w:val="21"/>
              </w:rPr>
            </w:pPr>
          </w:p>
        </w:tc>
        <w:tc>
          <w:tcPr>
            <w:tcW w:w="851" w:type="dxa"/>
            <w:vAlign w:val="center"/>
          </w:tcPr>
          <w:p>
            <w:pPr>
              <w:snapToGrid w:val="0"/>
              <w:jc w:val="center"/>
              <w:rPr>
                <w:rFonts w:asciiTheme="minorEastAsia" w:hAnsiTheme="minorEastAsia" w:eastAsiaTheme="minorEastAsia" w:cstheme="minorEastAsia"/>
                <w:color w:val="auto"/>
                <w:szCs w:val="21"/>
              </w:rPr>
            </w:pPr>
          </w:p>
        </w:tc>
        <w:tc>
          <w:tcPr>
            <w:tcW w:w="851" w:type="dxa"/>
            <w:tcBorders>
              <w:right w:val="single" w:color="auto" w:sz="4" w:space="0"/>
            </w:tcBorders>
            <w:vAlign w:val="center"/>
          </w:tcPr>
          <w:p>
            <w:pPr>
              <w:snapToGrid w:val="0"/>
              <w:jc w:val="center"/>
              <w:rPr>
                <w:rFonts w:asciiTheme="minorEastAsia" w:hAnsiTheme="minorEastAsia" w:eastAsiaTheme="minorEastAsia" w:cstheme="minorEastAsia"/>
                <w:color w:val="auto"/>
                <w:szCs w:val="21"/>
              </w:rPr>
            </w:pPr>
          </w:p>
        </w:tc>
        <w:tc>
          <w:tcPr>
            <w:tcW w:w="850" w:type="dxa"/>
            <w:tcBorders>
              <w:left w:val="single" w:color="auto" w:sz="4" w:space="0"/>
            </w:tcBorders>
            <w:vAlign w:val="center"/>
          </w:tcPr>
          <w:p>
            <w:pPr>
              <w:snapToGrid w:val="0"/>
              <w:jc w:val="center"/>
              <w:rPr>
                <w:rFonts w:asciiTheme="minorEastAsia" w:hAnsiTheme="minorEastAsia" w:eastAsiaTheme="minorEastAsia" w:cstheme="minorEastAsia"/>
                <w:color w:val="auto"/>
                <w:szCs w:val="21"/>
              </w:rPr>
            </w:pPr>
          </w:p>
        </w:tc>
        <w:tc>
          <w:tcPr>
            <w:tcW w:w="1843" w:type="dxa"/>
            <w:vAlign w:val="center"/>
          </w:tcPr>
          <w:p>
            <w:pPr>
              <w:snapToGrid w:val="0"/>
              <w:jc w:val="center"/>
              <w:rPr>
                <w:rFonts w:asciiTheme="minorEastAsia" w:hAnsiTheme="minorEastAsia" w:eastAsiaTheme="minorEastAsia" w:cstheme="minorEastAsia"/>
                <w:color w:val="auto"/>
                <w:szCs w:val="21"/>
              </w:rPr>
            </w:pPr>
          </w:p>
        </w:tc>
        <w:tc>
          <w:tcPr>
            <w:tcW w:w="850" w:type="dxa"/>
            <w:vAlign w:val="center"/>
          </w:tcPr>
          <w:p>
            <w:pPr>
              <w:snapToGrid w:val="0"/>
              <w:jc w:val="center"/>
              <w:rPr>
                <w:rFonts w:asciiTheme="minorEastAsia" w:hAnsiTheme="minorEastAsia" w:eastAsiaTheme="minorEastAsia" w:cstheme="minorEastAsia"/>
                <w:color w:val="auto"/>
                <w:szCs w:val="21"/>
              </w:rPr>
            </w:pPr>
          </w:p>
        </w:tc>
        <w:tc>
          <w:tcPr>
            <w:tcW w:w="992" w:type="dxa"/>
            <w:tcBorders>
              <w:right w:val="single" w:color="auto" w:sz="4" w:space="0"/>
            </w:tcBorders>
            <w:vAlign w:val="center"/>
          </w:tcPr>
          <w:p>
            <w:pPr>
              <w:snapToGrid w:val="0"/>
              <w:jc w:val="center"/>
              <w:rPr>
                <w:rFonts w:asciiTheme="minorEastAsia" w:hAnsiTheme="minorEastAsia" w:eastAsiaTheme="minorEastAsia" w:cstheme="minorEastAsia"/>
                <w:color w:val="auto"/>
                <w:szCs w:val="21"/>
              </w:rPr>
            </w:pPr>
          </w:p>
        </w:tc>
        <w:tc>
          <w:tcPr>
            <w:tcW w:w="1701" w:type="dxa"/>
            <w:tcBorders>
              <w:left w:val="single" w:color="auto" w:sz="4" w:space="0"/>
            </w:tcBorders>
            <w:vAlign w:val="center"/>
          </w:tcPr>
          <w:p>
            <w:pPr>
              <w:snapToGrid w:val="0"/>
              <w:jc w:val="center"/>
              <w:rPr>
                <w:rFonts w:asciiTheme="minorEastAsia" w:hAnsiTheme="minorEastAsia" w:eastAsiaTheme="minorEastAsia" w:cstheme="minorEastAsia"/>
                <w:color w:val="auto"/>
                <w:szCs w:val="21"/>
              </w:rPr>
            </w:pPr>
          </w:p>
        </w:tc>
      </w:tr>
    </w:tbl>
    <w:p>
      <w:pPr>
        <w:spacing w:before="156" w:beforeLines="50" w:line="288" w:lineRule="auto"/>
        <w:ind w:left="-122" w:leftChars="-58"/>
        <w:rPr>
          <w:rFonts w:asciiTheme="minorEastAsia" w:hAnsiTheme="minorEastAsia" w:eastAsiaTheme="minorEastAsia" w:cstheme="minorEastAsia"/>
          <w:color w:val="auto"/>
          <w:szCs w:val="21"/>
        </w:rPr>
      </w:pPr>
    </w:p>
    <w:p>
      <w:pPr>
        <w:spacing w:before="156" w:beforeLines="50" w:line="288" w:lineRule="auto"/>
        <w:ind w:left="-122" w:leftChars="-58"/>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供应商名称（公章）：</w:t>
      </w:r>
    </w:p>
    <w:p>
      <w:pPr>
        <w:spacing w:before="156" w:beforeLines="50" w:line="288" w:lineRule="auto"/>
        <w:ind w:left="-122" w:leftChars="-58"/>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法定代表人或其委托代理人（签字或加盖人名章）：</w:t>
      </w:r>
    </w:p>
    <w:p>
      <w:pPr>
        <w:spacing w:before="156" w:beforeLines="50" w:line="288" w:lineRule="auto"/>
        <w:ind w:left="-122" w:leftChars="-58"/>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日期：</w:t>
      </w:r>
    </w:p>
    <w:p>
      <w:pPr>
        <w:spacing w:line="288"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注：1、此表为报价表之设备分项报价表。</w:t>
      </w:r>
    </w:p>
    <w:p>
      <w:pPr>
        <w:spacing w:line="288"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2、所报内容需参照磋商文件及采购需求相关条款的要求。</w:t>
      </w:r>
    </w:p>
    <w:p>
      <w:pPr>
        <w:spacing w:line="360" w:lineRule="auto"/>
        <w:outlineLvl w:val="2"/>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Cs w:val="21"/>
        </w:rPr>
        <w:br w:type="page"/>
      </w:r>
      <w:bookmarkStart w:id="222" w:name="_Toc4433588"/>
      <w:bookmarkStart w:id="223" w:name="_Toc24800"/>
      <w:r>
        <w:rPr>
          <w:rFonts w:hint="eastAsia" w:asciiTheme="minorEastAsia" w:hAnsiTheme="minorEastAsia" w:eastAsiaTheme="minorEastAsia" w:cstheme="minorEastAsia"/>
          <w:color w:val="auto"/>
          <w:sz w:val="24"/>
        </w:rPr>
        <w:t>附件5-2：</w:t>
      </w:r>
      <w:r>
        <w:rPr>
          <w:rFonts w:hint="eastAsia" w:asciiTheme="minorEastAsia" w:hAnsiTheme="minorEastAsia" w:eastAsiaTheme="minorEastAsia" w:cstheme="minorEastAsia"/>
          <w:color w:val="auto"/>
          <w:szCs w:val="21"/>
        </w:rPr>
        <w:t>备品备件、专用工具和专用试验仪器分项报价表</w:t>
      </w:r>
      <w:bookmarkEnd w:id="222"/>
      <w:bookmarkEnd w:id="223"/>
    </w:p>
    <w:p>
      <w:pPr>
        <w:spacing w:before="156" w:beforeLines="50" w:line="288" w:lineRule="auto"/>
        <w:ind w:hanging="104"/>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备品备件、专用工具和专用试验仪器分项报价表</w:t>
      </w:r>
    </w:p>
    <w:p>
      <w:pPr>
        <w:spacing w:line="288" w:lineRule="auto"/>
        <w:ind w:right="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项目编号：[货币单位：人民币元]</w:t>
      </w:r>
    </w:p>
    <w:tbl>
      <w:tblPr>
        <w:tblStyle w:val="74"/>
        <w:tblW w:w="13696"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9"/>
        <w:gridCol w:w="1233"/>
        <w:gridCol w:w="1041"/>
        <w:gridCol w:w="1088"/>
        <w:gridCol w:w="957"/>
        <w:gridCol w:w="851"/>
        <w:gridCol w:w="851"/>
        <w:gridCol w:w="850"/>
        <w:gridCol w:w="1843"/>
        <w:gridCol w:w="850"/>
        <w:gridCol w:w="992"/>
        <w:gridCol w:w="170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9" w:type="dxa"/>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1</w:t>
            </w:r>
          </w:p>
        </w:tc>
        <w:tc>
          <w:tcPr>
            <w:tcW w:w="1233" w:type="dxa"/>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2</w:t>
            </w:r>
          </w:p>
        </w:tc>
        <w:tc>
          <w:tcPr>
            <w:tcW w:w="1041" w:type="dxa"/>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3</w:t>
            </w:r>
          </w:p>
        </w:tc>
        <w:tc>
          <w:tcPr>
            <w:tcW w:w="1088" w:type="dxa"/>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4</w:t>
            </w:r>
          </w:p>
        </w:tc>
        <w:tc>
          <w:tcPr>
            <w:tcW w:w="957" w:type="dxa"/>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5</w:t>
            </w:r>
          </w:p>
        </w:tc>
        <w:tc>
          <w:tcPr>
            <w:tcW w:w="851" w:type="dxa"/>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6</w:t>
            </w:r>
          </w:p>
        </w:tc>
        <w:tc>
          <w:tcPr>
            <w:tcW w:w="851" w:type="dxa"/>
            <w:tcBorders>
              <w:right w:val="single" w:color="auto" w:sz="4" w:space="0"/>
            </w:tcBorders>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7</w:t>
            </w:r>
          </w:p>
        </w:tc>
        <w:tc>
          <w:tcPr>
            <w:tcW w:w="850" w:type="dxa"/>
            <w:tcBorders>
              <w:left w:val="single" w:color="auto" w:sz="4" w:space="0"/>
            </w:tcBorders>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8</w:t>
            </w:r>
          </w:p>
        </w:tc>
        <w:tc>
          <w:tcPr>
            <w:tcW w:w="1843" w:type="dxa"/>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9</w:t>
            </w:r>
          </w:p>
        </w:tc>
        <w:tc>
          <w:tcPr>
            <w:tcW w:w="850" w:type="dxa"/>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10</w:t>
            </w:r>
          </w:p>
        </w:tc>
        <w:tc>
          <w:tcPr>
            <w:tcW w:w="992" w:type="dxa"/>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11</w:t>
            </w:r>
          </w:p>
        </w:tc>
        <w:tc>
          <w:tcPr>
            <w:tcW w:w="1701" w:type="dxa"/>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12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9" w:type="dxa"/>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名称</w:t>
            </w:r>
          </w:p>
        </w:tc>
        <w:tc>
          <w:tcPr>
            <w:tcW w:w="1233" w:type="dxa"/>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规格型号</w:t>
            </w:r>
          </w:p>
        </w:tc>
        <w:tc>
          <w:tcPr>
            <w:tcW w:w="1041" w:type="dxa"/>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制造商</w:t>
            </w:r>
          </w:p>
        </w:tc>
        <w:tc>
          <w:tcPr>
            <w:tcW w:w="1088" w:type="dxa"/>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出厂价</w:t>
            </w:r>
          </w:p>
        </w:tc>
        <w:tc>
          <w:tcPr>
            <w:tcW w:w="957" w:type="dxa"/>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运输费</w:t>
            </w:r>
          </w:p>
        </w:tc>
        <w:tc>
          <w:tcPr>
            <w:tcW w:w="851" w:type="dxa"/>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保险费</w:t>
            </w:r>
          </w:p>
        </w:tc>
        <w:tc>
          <w:tcPr>
            <w:tcW w:w="851" w:type="dxa"/>
            <w:tcBorders>
              <w:right w:val="single" w:color="auto" w:sz="4" w:space="0"/>
            </w:tcBorders>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装卸费</w:t>
            </w:r>
          </w:p>
        </w:tc>
        <w:tc>
          <w:tcPr>
            <w:tcW w:w="850" w:type="dxa"/>
            <w:tcBorders>
              <w:left w:val="single" w:color="auto" w:sz="4" w:space="0"/>
            </w:tcBorders>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其他费用</w:t>
            </w:r>
          </w:p>
        </w:tc>
        <w:tc>
          <w:tcPr>
            <w:tcW w:w="1843" w:type="dxa"/>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设备单价</w:t>
            </w:r>
          </w:p>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（现场落地/车板价）</w:t>
            </w:r>
          </w:p>
        </w:tc>
        <w:tc>
          <w:tcPr>
            <w:tcW w:w="850" w:type="dxa"/>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单位</w:t>
            </w:r>
          </w:p>
        </w:tc>
        <w:tc>
          <w:tcPr>
            <w:tcW w:w="992" w:type="dxa"/>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数量</w:t>
            </w:r>
          </w:p>
        </w:tc>
        <w:tc>
          <w:tcPr>
            <w:tcW w:w="1701" w:type="dxa"/>
            <w:vAlign w:val="center"/>
          </w:tcPr>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设备总价</w:t>
            </w:r>
          </w:p>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（现场落地/车板价）</w:t>
            </w:r>
          </w:p>
          <w:p>
            <w:pPr>
              <w:snapToGrid w:val="0"/>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12=11×9</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9" w:type="dxa"/>
            <w:vAlign w:val="center"/>
          </w:tcPr>
          <w:p>
            <w:pPr>
              <w:snapToGrid w:val="0"/>
              <w:jc w:val="center"/>
              <w:rPr>
                <w:rFonts w:asciiTheme="minorEastAsia" w:hAnsiTheme="minorEastAsia" w:eastAsiaTheme="minorEastAsia" w:cstheme="minorEastAsia"/>
                <w:color w:val="auto"/>
                <w:szCs w:val="21"/>
              </w:rPr>
            </w:pPr>
          </w:p>
        </w:tc>
        <w:tc>
          <w:tcPr>
            <w:tcW w:w="1233" w:type="dxa"/>
            <w:vAlign w:val="center"/>
          </w:tcPr>
          <w:p>
            <w:pPr>
              <w:snapToGrid w:val="0"/>
              <w:jc w:val="center"/>
              <w:rPr>
                <w:rFonts w:asciiTheme="minorEastAsia" w:hAnsiTheme="minorEastAsia" w:eastAsiaTheme="minorEastAsia" w:cstheme="minorEastAsia"/>
                <w:color w:val="auto"/>
                <w:szCs w:val="21"/>
              </w:rPr>
            </w:pPr>
          </w:p>
        </w:tc>
        <w:tc>
          <w:tcPr>
            <w:tcW w:w="1041" w:type="dxa"/>
            <w:vAlign w:val="center"/>
          </w:tcPr>
          <w:p>
            <w:pPr>
              <w:snapToGrid w:val="0"/>
              <w:jc w:val="center"/>
              <w:rPr>
                <w:rFonts w:asciiTheme="minorEastAsia" w:hAnsiTheme="minorEastAsia" w:eastAsiaTheme="minorEastAsia" w:cstheme="minorEastAsia"/>
                <w:color w:val="auto"/>
                <w:szCs w:val="21"/>
              </w:rPr>
            </w:pPr>
          </w:p>
        </w:tc>
        <w:tc>
          <w:tcPr>
            <w:tcW w:w="1088" w:type="dxa"/>
            <w:vAlign w:val="center"/>
          </w:tcPr>
          <w:p>
            <w:pPr>
              <w:snapToGrid w:val="0"/>
              <w:jc w:val="center"/>
              <w:rPr>
                <w:rFonts w:asciiTheme="minorEastAsia" w:hAnsiTheme="minorEastAsia" w:eastAsiaTheme="minorEastAsia" w:cstheme="minorEastAsia"/>
                <w:color w:val="auto"/>
                <w:szCs w:val="21"/>
              </w:rPr>
            </w:pPr>
          </w:p>
        </w:tc>
        <w:tc>
          <w:tcPr>
            <w:tcW w:w="957" w:type="dxa"/>
            <w:vAlign w:val="center"/>
          </w:tcPr>
          <w:p>
            <w:pPr>
              <w:snapToGrid w:val="0"/>
              <w:jc w:val="center"/>
              <w:rPr>
                <w:rFonts w:asciiTheme="minorEastAsia" w:hAnsiTheme="minorEastAsia" w:eastAsiaTheme="minorEastAsia" w:cstheme="minorEastAsia"/>
                <w:color w:val="auto"/>
                <w:szCs w:val="21"/>
              </w:rPr>
            </w:pPr>
          </w:p>
        </w:tc>
        <w:tc>
          <w:tcPr>
            <w:tcW w:w="851" w:type="dxa"/>
            <w:vAlign w:val="center"/>
          </w:tcPr>
          <w:p>
            <w:pPr>
              <w:snapToGrid w:val="0"/>
              <w:jc w:val="center"/>
              <w:rPr>
                <w:rFonts w:asciiTheme="minorEastAsia" w:hAnsiTheme="minorEastAsia" w:eastAsiaTheme="minorEastAsia" w:cstheme="minorEastAsia"/>
                <w:color w:val="auto"/>
                <w:szCs w:val="21"/>
              </w:rPr>
            </w:pPr>
          </w:p>
        </w:tc>
        <w:tc>
          <w:tcPr>
            <w:tcW w:w="851" w:type="dxa"/>
            <w:tcBorders>
              <w:right w:val="single" w:color="auto" w:sz="4" w:space="0"/>
            </w:tcBorders>
            <w:vAlign w:val="center"/>
          </w:tcPr>
          <w:p>
            <w:pPr>
              <w:snapToGrid w:val="0"/>
              <w:jc w:val="center"/>
              <w:rPr>
                <w:rFonts w:asciiTheme="minorEastAsia" w:hAnsiTheme="minorEastAsia" w:eastAsiaTheme="minorEastAsia" w:cstheme="minorEastAsia"/>
                <w:color w:val="auto"/>
                <w:szCs w:val="21"/>
              </w:rPr>
            </w:pPr>
          </w:p>
        </w:tc>
        <w:tc>
          <w:tcPr>
            <w:tcW w:w="850" w:type="dxa"/>
            <w:tcBorders>
              <w:left w:val="single" w:color="auto" w:sz="4" w:space="0"/>
            </w:tcBorders>
            <w:vAlign w:val="center"/>
          </w:tcPr>
          <w:p>
            <w:pPr>
              <w:snapToGrid w:val="0"/>
              <w:jc w:val="center"/>
              <w:rPr>
                <w:rFonts w:asciiTheme="minorEastAsia" w:hAnsiTheme="minorEastAsia" w:eastAsiaTheme="minorEastAsia" w:cstheme="minorEastAsia"/>
                <w:color w:val="auto"/>
                <w:szCs w:val="21"/>
              </w:rPr>
            </w:pPr>
          </w:p>
        </w:tc>
        <w:tc>
          <w:tcPr>
            <w:tcW w:w="1843" w:type="dxa"/>
            <w:vAlign w:val="center"/>
          </w:tcPr>
          <w:p>
            <w:pPr>
              <w:snapToGrid w:val="0"/>
              <w:jc w:val="center"/>
              <w:rPr>
                <w:rFonts w:asciiTheme="minorEastAsia" w:hAnsiTheme="minorEastAsia" w:eastAsiaTheme="minorEastAsia" w:cstheme="minorEastAsia"/>
                <w:color w:val="auto"/>
                <w:szCs w:val="21"/>
              </w:rPr>
            </w:pPr>
          </w:p>
        </w:tc>
        <w:tc>
          <w:tcPr>
            <w:tcW w:w="850" w:type="dxa"/>
            <w:vAlign w:val="center"/>
          </w:tcPr>
          <w:p>
            <w:pPr>
              <w:snapToGrid w:val="0"/>
              <w:jc w:val="center"/>
              <w:rPr>
                <w:rFonts w:asciiTheme="minorEastAsia" w:hAnsiTheme="minorEastAsia" w:eastAsiaTheme="minorEastAsia" w:cstheme="minorEastAsia"/>
                <w:color w:val="auto"/>
                <w:szCs w:val="21"/>
              </w:rPr>
            </w:pPr>
          </w:p>
        </w:tc>
        <w:tc>
          <w:tcPr>
            <w:tcW w:w="992" w:type="dxa"/>
            <w:vAlign w:val="center"/>
          </w:tcPr>
          <w:p>
            <w:pPr>
              <w:snapToGrid w:val="0"/>
              <w:jc w:val="center"/>
              <w:rPr>
                <w:rFonts w:asciiTheme="minorEastAsia" w:hAnsiTheme="minorEastAsia" w:eastAsiaTheme="minorEastAsia" w:cstheme="minorEastAsia"/>
                <w:color w:val="auto"/>
                <w:szCs w:val="21"/>
              </w:rPr>
            </w:pPr>
          </w:p>
        </w:tc>
        <w:tc>
          <w:tcPr>
            <w:tcW w:w="1701" w:type="dxa"/>
            <w:vAlign w:val="center"/>
          </w:tcPr>
          <w:p>
            <w:pPr>
              <w:snapToGrid w:val="0"/>
              <w:jc w:val="center"/>
              <w:rPr>
                <w:rFonts w:asciiTheme="minorEastAsia" w:hAnsiTheme="minorEastAsia" w:eastAsiaTheme="minorEastAsia" w:cstheme="minorEastAsia"/>
                <w:color w:val="auto"/>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9" w:type="dxa"/>
            <w:vAlign w:val="center"/>
          </w:tcPr>
          <w:p>
            <w:pPr>
              <w:snapToGrid w:val="0"/>
              <w:jc w:val="center"/>
              <w:rPr>
                <w:rFonts w:asciiTheme="minorEastAsia" w:hAnsiTheme="minorEastAsia" w:eastAsiaTheme="minorEastAsia" w:cstheme="minorEastAsia"/>
                <w:color w:val="auto"/>
                <w:szCs w:val="21"/>
              </w:rPr>
            </w:pPr>
          </w:p>
        </w:tc>
        <w:tc>
          <w:tcPr>
            <w:tcW w:w="1233" w:type="dxa"/>
            <w:vAlign w:val="center"/>
          </w:tcPr>
          <w:p>
            <w:pPr>
              <w:snapToGrid w:val="0"/>
              <w:jc w:val="center"/>
              <w:rPr>
                <w:rFonts w:asciiTheme="minorEastAsia" w:hAnsiTheme="minorEastAsia" w:eastAsiaTheme="minorEastAsia" w:cstheme="minorEastAsia"/>
                <w:color w:val="auto"/>
                <w:szCs w:val="21"/>
              </w:rPr>
            </w:pPr>
          </w:p>
        </w:tc>
        <w:tc>
          <w:tcPr>
            <w:tcW w:w="1041" w:type="dxa"/>
            <w:vAlign w:val="center"/>
          </w:tcPr>
          <w:p>
            <w:pPr>
              <w:snapToGrid w:val="0"/>
              <w:jc w:val="center"/>
              <w:rPr>
                <w:rFonts w:asciiTheme="minorEastAsia" w:hAnsiTheme="minorEastAsia" w:eastAsiaTheme="minorEastAsia" w:cstheme="minorEastAsia"/>
                <w:color w:val="auto"/>
                <w:szCs w:val="21"/>
              </w:rPr>
            </w:pPr>
          </w:p>
        </w:tc>
        <w:tc>
          <w:tcPr>
            <w:tcW w:w="1088" w:type="dxa"/>
            <w:vAlign w:val="center"/>
          </w:tcPr>
          <w:p>
            <w:pPr>
              <w:snapToGrid w:val="0"/>
              <w:jc w:val="center"/>
              <w:rPr>
                <w:rFonts w:asciiTheme="minorEastAsia" w:hAnsiTheme="minorEastAsia" w:eastAsiaTheme="minorEastAsia" w:cstheme="minorEastAsia"/>
                <w:color w:val="auto"/>
                <w:szCs w:val="21"/>
              </w:rPr>
            </w:pPr>
          </w:p>
        </w:tc>
        <w:tc>
          <w:tcPr>
            <w:tcW w:w="957" w:type="dxa"/>
            <w:vAlign w:val="center"/>
          </w:tcPr>
          <w:p>
            <w:pPr>
              <w:snapToGrid w:val="0"/>
              <w:jc w:val="center"/>
              <w:rPr>
                <w:rFonts w:asciiTheme="minorEastAsia" w:hAnsiTheme="minorEastAsia" w:eastAsiaTheme="minorEastAsia" w:cstheme="minorEastAsia"/>
                <w:color w:val="auto"/>
                <w:szCs w:val="21"/>
              </w:rPr>
            </w:pPr>
          </w:p>
        </w:tc>
        <w:tc>
          <w:tcPr>
            <w:tcW w:w="851" w:type="dxa"/>
            <w:vAlign w:val="center"/>
          </w:tcPr>
          <w:p>
            <w:pPr>
              <w:snapToGrid w:val="0"/>
              <w:jc w:val="center"/>
              <w:rPr>
                <w:rFonts w:asciiTheme="minorEastAsia" w:hAnsiTheme="minorEastAsia" w:eastAsiaTheme="minorEastAsia" w:cstheme="minorEastAsia"/>
                <w:color w:val="auto"/>
                <w:szCs w:val="21"/>
              </w:rPr>
            </w:pPr>
          </w:p>
        </w:tc>
        <w:tc>
          <w:tcPr>
            <w:tcW w:w="851" w:type="dxa"/>
            <w:tcBorders>
              <w:right w:val="single" w:color="auto" w:sz="4" w:space="0"/>
            </w:tcBorders>
            <w:vAlign w:val="center"/>
          </w:tcPr>
          <w:p>
            <w:pPr>
              <w:snapToGrid w:val="0"/>
              <w:jc w:val="center"/>
              <w:rPr>
                <w:rFonts w:asciiTheme="minorEastAsia" w:hAnsiTheme="minorEastAsia" w:eastAsiaTheme="minorEastAsia" w:cstheme="minorEastAsia"/>
                <w:color w:val="auto"/>
                <w:szCs w:val="21"/>
              </w:rPr>
            </w:pPr>
          </w:p>
        </w:tc>
        <w:tc>
          <w:tcPr>
            <w:tcW w:w="850" w:type="dxa"/>
            <w:tcBorders>
              <w:left w:val="single" w:color="auto" w:sz="4" w:space="0"/>
            </w:tcBorders>
            <w:vAlign w:val="center"/>
          </w:tcPr>
          <w:p>
            <w:pPr>
              <w:snapToGrid w:val="0"/>
              <w:jc w:val="center"/>
              <w:rPr>
                <w:rFonts w:asciiTheme="minorEastAsia" w:hAnsiTheme="minorEastAsia" w:eastAsiaTheme="minorEastAsia" w:cstheme="minorEastAsia"/>
                <w:color w:val="auto"/>
                <w:szCs w:val="21"/>
              </w:rPr>
            </w:pPr>
          </w:p>
        </w:tc>
        <w:tc>
          <w:tcPr>
            <w:tcW w:w="1843" w:type="dxa"/>
            <w:vAlign w:val="center"/>
          </w:tcPr>
          <w:p>
            <w:pPr>
              <w:snapToGrid w:val="0"/>
              <w:jc w:val="center"/>
              <w:rPr>
                <w:rFonts w:asciiTheme="minorEastAsia" w:hAnsiTheme="minorEastAsia" w:eastAsiaTheme="minorEastAsia" w:cstheme="minorEastAsia"/>
                <w:color w:val="auto"/>
                <w:szCs w:val="21"/>
              </w:rPr>
            </w:pPr>
          </w:p>
        </w:tc>
        <w:tc>
          <w:tcPr>
            <w:tcW w:w="850" w:type="dxa"/>
            <w:vAlign w:val="center"/>
          </w:tcPr>
          <w:p>
            <w:pPr>
              <w:snapToGrid w:val="0"/>
              <w:jc w:val="center"/>
              <w:rPr>
                <w:rFonts w:asciiTheme="minorEastAsia" w:hAnsiTheme="minorEastAsia" w:eastAsiaTheme="minorEastAsia" w:cstheme="minorEastAsia"/>
                <w:color w:val="auto"/>
                <w:szCs w:val="21"/>
              </w:rPr>
            </w:pPr>
          </w:p>
        </w:tc>
        <w:tc>
          <w:tcPr>
            <w:tcW w:w="992" w:type="dxa"/>
            <w:vAlign w:val="center"/>
          </w:tcPr>
          <w:p>
            <w:pPr>
              <w:snapToGrid w:val="0"/>
              <w:jc w:val="center"/>
              <w:rPr>
                <w:rFonts w:asciiTheme="minorEastAsia" w:hAnsiTheme="minorEastAsia" w:eastAsiaTheme="minorEastAsia" w:cstheme="minorEastAsia"/>
                <w:color w:val="auto"/>
                <w:szCs w:val="21"/>
              </w:rPr>
            </w:pPr>
          </w:p>
        </w:tc>
        <w:tc>
          <w:tcPr>
            <w:tcW w:w="1701" w:type="dxa"/>
            <w:vAlign w:val="center"/>
          </w:tcPr>
          <w:p>
            <w:pPr>
              <w:snapToGrid w:val="0"/>
              <w:jc w:val="center"/>
              <w:rPr>
                <w:rFonts w:asciiTheme="minorEastAsia" w:hAnsiTheme="minorEastAsia" w:eastAsiaTheme="minorEastAsia" w:cstheme="minorEastAsia"/>
                <w:color w:val="auto"/>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9" w:type="dxa"/>
            <w:vAlign w:val="center"/>
          </w:tcPr>
          <w:p>
            <w:pPr>
              <w:snapToGrid w:val="0"/>
              <w:jc w:val="center"/>
              <w:rPr>
                <w:rFonts w:asciiTheme="minorEastAsia" w:hAnsiTheme="minorEastAsia" w:eastAsiaTheme="minorEastAsia" w:cstheme="minorEastAsia"/>
                <w:color w:val="auto"/>
                <w:szCs w:val="21"/>
              </w:rPr>
            </w:pPr>
          </w:p>
        </w:tc>
        <w:tc>
          <w:tcPr>
            <w:tcW w:w="1233" w:type="dxa"/>
            <w:vAlign w:val="center"/>
          </w:tcPr>
          <w:p>
            <w:pPr>
              <w:snapToGrid w:val="0"/>
              <w:jc w:val="center"/>
              <w:rPr>
                <w:rFonts w:asciiTheme="minorEastAsia" w:hAnsiTheme="minorEastAsia" w:eastAsiaTheme="minorEastAsia" w:cstheme="minorEastAsia"/>
                <w:color w:val="auto"/>
                <w:szCs w:val="21"/>
              </w:rPr>
            </w:pPr>
          </w:p>
        </w:tc>
        <w:tc>
          <w:tcPr>
            <w:tcW w:w="1041" w:type="dxa"/>
            <w:vAlign w:val="center"/>
          </w:tcPr>
          <w:p>
            <w:pPr>
              <w:snapToGrid w:val="0"/>
              <w:jc w:val="center"/>
              <w:rPr>
                <w:rFonts w:asciiTheme="minorEastAsia" w:hAnsiTheme="minorEastAsia" w:eastAsiaTheme="minorEastAsia" w:cstheme="minorEastAsia"/>
                <w:color w:val="auto"/>
                <w:szCs w:val="21"/>
              </w:rPr>
            </w:pPr>
          </w:p>
        </w:tc>
        <w:tc>
          <w:tcPr>
            <w:tcW w:w="1088" w:type="dxa"/>
            <w:vAlign w:val="center"/>
          </w:tcPr>
          <w:p>
            <w:pPr>
              <w:snapToGrid w:val="0"/>
              <w:jc w:val="center"/>
              <w:rPr>
                <w:rFonts w:asciiTheme="minorEastAsia" w:hAnsiTheme="minorEastAsia" w:eastAsiaTheme="minorEastAsia" w:cstheme="minorEastAsia"/>
                <w:color w:val="auto"/>
                <w:szCs w:val="21"/>
              </w:rPr>
            </w:pPr>
          </w:p>
        </w:tc>
        <w:tc>
          <w:tcPr>
            <w:tcW w:w="957" w:type="dxa"/>
            <w:vAlign w:val="center"/>
          </w:tcPr>
          <w:p>
            <w:pPr>
              <w:snapToGrid w:val="0"/>
              <w:jc w:val="center"/>
              <w:rPr>
                <w:rFonts w:asciiTheme="minorEastAsia" w:hAnsiTheme="minorEastAsia" w:eastAsiaTheme="minorEastAsia" w:cstheme="minorEastAsia"/>
                <w:color w:val="auto"/>
                <w:szCs w:val="21"/>
              </w:rPr>
            </w:pPr>
          </w:p>
        </w:tc>
        <w:tc>
          <w:tcPr>
            <w:tcW w:w="851" w:type="dxa"/>
            <w:vAlign w:val="center"/>
          </w:tcPr>
          <w:p>
            <w:pPr>
              <w:snapToGrid w:val="0"/>
              <w:jc w:val="center"/>
              <w:rPr>
                <w:rFonts w:asciiTheme="minorEastAsia" w:hAnsiTheme="minorEastAsia" w:eastAsiaTheme="minorEastAsia" w:cstheme="minorEastAsia"/>
                <w:color w:val="auto"/>
                <w:szCs w:val="21"/>
              </w:rPr>
            </w:pPr>
          </w:p>
        </w:tc>
        <w:tc>
          <w:tcPr>
            <w:tcW w:w="851" w:type="dxa"/>
            <w:tcBorders>
              <w:right w:val="single" w:color="auto" w:sz="4" w:space="0"/>
            </w:tcBorders>
            <w:vAlign w:val="center"/>
          </w:tcPr>
          <w:p>
            <w:pPr>
              <w:snapToGrid w:val="0"/>
              <w:jc w:val="center"/>
              <w:rPr>
                <w:rFonts w:asciiTheme="minorEastAsia" w:hAnsiTheme="minorEastAsia" w:eastAsiaTheme="minorEastAsia" w:cstheme="minorEastAsia"/>
                <w:color w:val="auto"/>
                <w:szCs w:val="21"/>
              </w:rPr>
            </w:pPr>
          </w:p>
        </w:tc>
        <w:tc>
          <w:tcPr>
            <w:tcW w:w="850" w:type="dxa"/>
            <w:tcBorders>
              <w:left w:val="single" w:color="auto" w:sz="4" w:space="0"/>
            </w:tcBorders>
            <w:vAlign w:val="center"/>
          </w:tcPr>
          <w:p>
            <w:pPr>
              <w:snapToGrid w:val="0"/>
              <w:jc w:val="center"/>
              <w:rPr>
                <w:rFonts w:asciiTheme="minorEastAsia" w:hAnsiTheme="minorEastAsia" w:eastAsiaTheme="minorEastAsia" w:cstheme="minorEastAsia"/>
                <w:color w:val="auto"/>
                <w:szCs w:val="21"/>
              </w:rPr>
            </w:pPr>
          </w:p>
        </w:tc>
        <w:tc>
          <w:tcPr>
            <w:tcW w:w="1843" w:type="dxa"/>
            <w:vAlign w:val="center"/>
          </w:tcPr>
          <w:p>
            <w:pPr>
              <w:snapToGrid w:val="0"/>
              <w:jc w:val="center"/>
              <w:rPr>
                <w:rFonts w:asciiTheme="minorEastAsia" w:hAnsiTheme="minorEastAsia" w:eastAsiaTheme="minorEastAsia" w:cstheme="minorEastAsia"/>
                <w:color w:val="auto"/>
                <w:szCs w:val="21"/>
              </w:rPr>
            </w:pPr>
          </w:p>
        </w:tc>
        <w:tc>
          <w:tcPr>
            <w:tcW w:w="850" w:type="dxa"/>
            <w:vAlign w:val="center"/>
          </w:tcPr>
          <w:p>
            <w:pPr>
              <w:snapToGrid w:val="0"/>
              <w:jc w:val="center"/>
              <w:rPr>
                <w:rFonts w:asciiTheme="minorEastAsia" w:hAnsiTheme="minorEastAsia" w:eastAsiaTheme="minorEastAsia" w:cstheme="minorEastAsia"/>
                <w:color w:val="auto"/>
                <w:szCs w:val="21"/>
              </w:rPr>
            </w:pPr>
          </w:p>
        </w:tc>
        <w:tc>
          <w:tcPr>
            <w:tcW w:w="992" w:type="dxa"/>
            <w:vAlign w:val="center"/>
          </w:tcPr>
          <w:p>
            <w:pPr>
              <w:snapToGrid w:val="0"/>
              <w:jc w:val="center"/>
              <w:rPr>
                <w:rFonts w:asciiTheme="minorEastAsia" w:hAnsiTheme="minorEastAsia" w:eastAsiaTheme="minorEastAsia" w:cstheme="minorEastAsia"/>
                <w:color w:val="auto"/>
                <w:szCs w:val="21"/>
              </w:rPr>
            </w:pPr>
          </w:p>
        </w:tc>
        <w:tc>
          <w:tcPr>
            <w:tcW w:w="1701" w:type="dxa"/>
            <w:vAlign w:val="center"/>
          </w:tcPr>
          <w:p>
            <w:pPr>
              <w:snapToGrid w:val="0"/>
              <w:jc w:val="center"/>
              <w:rPr>
                <w:rFonts w:asciiTheme="minorEastAsia" w:hAnsiTheme="minorEastAsia" w:eastAsiaTheme="minorEastAsia" w:cstheme="minorEastAsia"/>
                <w:color w:val="auto"/>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9" w:type="dxa"/>
            <w:vAlign w:val="center"/>
          </w:tcPr>
          <w:p>
            <w:pPr>
              <w:snapToGrid w:val="0"/>
              <w:jc w:val="center"/>
              <w:rPr>
                <w:rFonts w:asciiTheme="minorEastAsia" w:hAnsiTheme="minorEastAsia" w:eastAsiaTheme="minorEastAsia" w:cstheme="minorEastAsia"/>
                <w:color w:val="auto"/>
                <w:szCs w:val="21"/>
              </w:rPr>
            </w:pPr>
          </w:p>
        </w:tc>
        <w:tc>
          <w:tcPr>
            <w:tcW w:w="1233" w:type="dxa"/>
            <w:vAlign w:val="center"/>
          </w:tcPr>
          <w:p>
            <w:pPr>
              <w:snapToGrid w:val="0"/>
              <w:jc w:val="center"/>
              <w:rPr>
                <w:rFonts w:asciiTheme="minorEastAsia" w:hAnsiTheme="minorEastAsia" w:eastAsiaTheme="minorEastAsia" w:cstheme="minorEastAsia"/>
                <w:color w:val="auto"/>
                <w:szCs w:val="21"/>
              </w:rPr>
            </w:pPr>
          </w:p>
        </w:tc>
        <w:tc>
          <w:tcPr>
            <w:tcW w:w="1041" w:type="dxa"/>
            <w:vAlign w:val="center"/>
          </w:tcPr>
          <w:p>
            <w:pPr>
              <w:snapToGrid w:val="0"/>
              <w:jc w:val="center"/>
              <w:rPr>
                <w:rFonts w:asciiTheme="minorEastAsia" w:hAnsiTheme="minorEastAsia" w:eastAsiaTheme="minorEastAsia" w:cstheme="minorEastAsia"/>
                <w:color w:val="auto"/>
                <w:szCs w:val="21"/>
              </w:rPr>
            </w:pPr>
          </w:p>
        </w:tc>
        <w:tc>
          <w:tcPr>
            <w:tcW w:w="1088" w:type="dxa"/>
            <w:vAlign w:val="center"/>
          </w:tcPr>
          <w:p>
            <w:pPr>
              <w:snapToGrid w:val="0"/>
              <w:jc w:val="center"/>
              <w:rPr>
                <w:rFonts w:asciiTheme="minorEastAsia" w:hAnsiTheme="minorEastAsia" w:eastAsiaTheme="minorEastAsia" w:cstheme="minorEastAsia"/>
                <w:color w:val="auto"/>
                <w:szCs w:val="21"/>
              </w:rPr>
            </w:pPr>
          </w:p>
        </w:tc>
        <w:tc>
          <w:tcPr>
            <w:tcW w:w="957" w:type="dxa"/>
            <w:vAlign w:val="center"/>
          </w:tcPr>
          <w:p>
            <w:pPr>
              <w:snapToGrid w:val="0"/>
              <w:jc w:val="center"/>
              <w:rPr>
                <w:rFonts w:asciiTheme="minorEastAsia" w:hAnsiTheme="minorEastAsia" w:eastAsiaTheme="minorEastAsia" w:cstheme="minorEastAsia"/>
                <w:color w:val="auto"/>
                <w:szCs w:val="21"/>
              </w:rPr>
            </w:pPr>
          </w:p>
        </w:tc>
        <w:tc>
          <w:tcPr>
            <w:tcW w:w="851" w:type="dxa"/>
            <w:vAlign w:val="center"/>
          </w:tcPr>
          <w:p>
            <w:pPr>
              <w:snapToGrid w:val="0"/>
              <w:jc w:val="center"/>
              <w:rPr>
                <w:rFonts w:asciiTheme="minorEastAsia" w:hAnsiTheme="minorEastAsia" w:eastAsiaTheme="minorEastAsia" w:cstheme="minorEastAsia"/>
                <w:color w:val="auto"/>
                <w:szCs w:val="21"/>
              </w:rPr>
            </w:pPr>
          </w:p>
        </w:tc>
        <w:tc>
          <w:tcPr>
            <w:tcW w:w="851" w:type="dxa"/>
            <w:tcBorders>
              <w:right w:val="single" w:color="auto" w:sz="4" w:space="0"/>
            </w:tcBorders>
            <w:vAlign w:val="center"/>
          </w:tcPr>
          <w:p>
            <w:pPr>
              <w:snapToGrid w:val="0"/>
              <w:jc w:val="center"/>
              <w:rPr>
                <w:rFonts w:asciiTheme="minorEastAsia" w:hAnsiTheme="minorEastAsia" w:eastAsiaTheme="minorEastAsia" w:cstheme="minorEastAsia"/>
                <w:color w:val="auto"/>
                <w:szCs w:val="21"/>
              </w:rPr>
            </w:pPr>
          </w:p>
        </w:tc>
        <w:tc>
          <w:tcPr>
            <w:tcW w:w="850" w:type="dxa"/>
            <w:tcBorders>
              <w:left w:val="single" w:color="auto" w:sz="4" w:space="0"/>
            </w:tcBorders>
            <w:vAlign w:val="center"/>
          </w:tcPr>
          <w:p>
            <w:pPr>
              <w:snapToGrid w:val="0"/>
              <w:jc w:val="center"/>
              <w:rPr>
                <w:rFonts w:asciiTheme="minorEastAsia" w:hAnsiTheme="minorEastAsia" w:eastAsiaTheme="minorEastAsia" w:cstheme="minorEastAsia"/>
                <w:color w:val="auto"/>
                <w:szCs w:val="21"/>
              </w:rPr>
            </w:pPr>
          </w:p>
        </w:tc>
        <w:tc>
          <w:tcPr>
            <w:tcW w:w="1843" w:type="dxa"/>
            <w:vAlign w:val="center"/>
          </w:tcPr>
          <w:p>
            <w:pPr>
              <w:snapToGrid w:val="0"/>
              <w:jc w:val="center"/>
              <w:rPr>
                <w:rFonts w:asciiTheme="minorEastAsia" w:hAnsiTheme="minorEastAsia" w:eastAsiaTheme="minorEastAsia" w:cstheme="minorEastAsia"/>
                <w:color w:val="auto"/>
                <w:szCs w:val="21"/>
              </w:rPr>
            </w:pPr>
          </w:p>
        </w:tc>
        <w:tc>
          <w:tcPr>
            <w:tcW w:w="850" w:type="dxa"/>
            <w:vAlign w:val="center"/>
          </w:tcPr>
          <w:p>
            <w:pPr>
              <w:snapToGrid w:val="0"/>
              <w:jc w:val="center"/>
              <w:rPr>
                <w:rFonts w:asciiTheme="minorEastAsia" w:hAnsiTheme="minorEastAsia" w:eastAsiaTheme="minorEastAsia" w:cstheme="minorEastAsia"/>
                <w:color w:val="auto"/>
                <w:szCs w:val="21"/>
              </w:rPr>
            </w:pPr>
          </w:p>
        </w:tc>
        <w:tc>
          <w:tcPr>
            <w:tcW w:w="992" w:type="dxa"/>
            <w:vAlign w:val="center"/>
          </w:tcPr>
          <w:p>
            <w:pPr>
              <w:snapToGrid w:val="0"/>
              <w:jc w:val="center"/>
              <w:rPr>
                <w:rFonts w:asciiTheme="minorEastAsia" w:hAnsiTheme="minorEastAsia" w:eastAsiaTheme="minorEastAsia" w:cstheme="minorEastAsia"/>
                <w:color w:val="auto"/>
                <w:szCs w:val="21"/>
              </w:rPr>
            </w:pPr>
          </w:p>
        </w:tc>
        <w:tc>
          <w:tcPr>
            <w:tcW w:w="1701" w:type="dxa"/>
            <w:vAlign w:val="center"/>
          </w:tcPr>
          <w:p>
            <w:pPr>
              <w:snapToGrid w:val="0"/>
              <w:jc w:val="center"/>
              <w:rPr>
                <w:rFonts w:asciiTheme="minorEastAsia" w:hAnsiTheme="minorEastAsia" w:eastAsiaTheme="minorEastAsia" w:cstheme="minorEastAsia"/>
                <w:color w:val="auto"/>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9" w:type="dxa"/>
            <w:vAlign w:val="center"/>
          </w:tcPr>
          <w:p>
            <w:pPr>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233" w:type="dxa"/>
            <w:vAlign w:val="center"/>
          </w:tcPr>
          <w:p>
            <w:pPr>
              <w:snapToGrid w:val="0"/>
              <w:jc w:val="center"/>
              <w:rPr>
                <w:rFonts w:asciiTheme="minorEastAsia" w:hAnsiTheme="minorEastAsia" w:eastAsiaTheme="minorEastAsia" w:cstheme="minorEastAsia"/>
                <w:color w:val="auto"/>
                <w:szCs w:val="21"/>
              </w:rPr>
            </w:pPr>
          </w:p>
        </w:tc>
        <w:tc>
          <w:tcPr>
            <w:tcW w:w="1041" w:type="dxa"/>
            <w:vAlign w:val="center"/>
          </w:tcPr>
          <w:p>
            <w:pPr>
              <w:snapToGrid w:val="0"/>
              <w:jc w:val="center"/>
              <w:rPr>
                <w:rFonts w:asciiTheme="minorEastAsia" w:hAnsiTheme="minorEastAsia" w:eastAsiaTheme="minorEastAsia" w:cstheme="minorEastAsia"/>
                <w:color w:val="auto"/>
                <w:szCs w:val="21"/>
              </w:rPr>
            </w:pPr>
          </w:p>
        </w:tc>
        <w:tc>
          <w:tcPr>
            <w:tcW w:w="1088" w:type="dxa"/>
            <w:vAlign w:val="center"/>
          </w:tcPr>
          <w:p>
            <w:pPr>
              <w:snapToGrid w:val="0"/>
              <w:jc w:val="center"/>
              <w:rPr>
                <w:rFonts w:asciiTheme="minorEastAsia" w:hAnsiTheme="minorEastAsia" w:eastAsiaTheme="minorEastAsia" w:cstheme="minorEastAsia"/>
                <w:color w:val="auto"/>
                <w:szCs w:val="21"/>
              </w:rPr>
            </w:pPr>
          </w:p>
        </w:tc>
        <w:tc>
          <w:tcPr>
            <w:tcW w:w="957" w:type="dxa"/>
            <w:vAlign w:val="center"/>
          </w:tcPr>
          <w:p>
            <w:pPr>
              <w:snapToGrid w:val="0"/>
              <w:jc w:val="center"/>
              <w:rPr>
                <w:rFonts w:asciiTheme="minorEastAsia" w:hAnsiTheme="minorEastAsia" w:eastAsiaTheme="minorEastAsia" w:cstheme="minorEastAsia"/>
                <w:color w:val="auto"/>
                <w:szCs w:val="21"/>
              </w:rPr>
            </w:pPr>
          </w:p>
        </w:tc>
        <w:tc>
          <w:tcPr>
            <w:tcW w:w="851" w:type="dxa"/>
            <w:vAlign w:val="center"/>
          </w:tcPr>
          <w:p>
            <w:pPr>
              <w:snapToGrid w:val="0"/>
              <w:jc w:val="center"/>
              <w:rPr>
                <w:rFonts w:asciiTheme="minorEastAsia" w:hAnsiTheme="minorEastAsia" w:eastAsiaTheme="minorEastAsia" w:cstheme="minorEastAsia"/>
                <w:color w:val="auto"/>
                <w:szCs w:val="21"/>
              </w:rPr>
            </w:pPr>
          </w:p>
        </w:tc>
        <w:tc>
          <w:tcPr>
            <w:tcW w:w="851" w:type="dxa"/>
            <w:tcBorders>
              <w:right w:val="single" w:color="auto" w:sz="4" w:space="0"/>
            </w:tcBorders>
            <w:vAlign w:val="center"/>
          </w:tcPr>
          <w:p>
            <w:pPr>
              <w:snapToGrid w:val="0"/>
              <w:jc w:val="center"/>
              <w:rPr>
                <w:rFonts w:asciiTheme="minorEastAsia" w:hAnsiTheme="minorEastAsia" w:eastAsiaTheme="minorEastAsia" w:cstheme="minorEastAsia"/>
                <w:color w:val="auto"/>
                <w:szCs w:val="21"/>
              </w:rPr>
            </w:pPr>
          </w:p>
        </w:tc>
        <w:tc>
          <w:tcPr>
            <w:tcW w:w="850" w:type="dxa"/>
            <w:tcBorders>
              <w:left w:val="single" w:color="auto" w:sz="4" w:space="0"/>
            </w:tcBorders>
            <w:vAlign w:val="center"/>
          </w:tcPr>
          <w:p>
            <w:pPr>
              <w:snapToGrid w:val="0"/>
              <w:jc w:val="center"/>
              <w:rPr>
                <w:rFonts w:asciiTheme="minorEastAsia" w:hAnsiTheme="minorEastAsia" w:eastAsiaTheme="minorEastAsia" w:cstheme="minorEastAsia"/>
                <w:color w:val="auto"/>
                <w:szCs w:val="21"/>
              </w:rPr>
            </w:pPr>
          </w:p>
        </w:tc>
        <w:tc>
          <w:tcPr>
            <w:tcW w:w="1843" w:type="dxa"/>
            <w:vAlign w:val="center"/>
          </w:tcPr>
          <w:p>
            <w:pPr>
              <w:snapToGrid w:val="0"/>
              <w:jc w:val="center"/>
              <w:rPr>
                <w:rFonts w:asciiTheme="minorEastAsia" w:hAnsiTheme="minorEastAsia" w:eastAsiaTheme="minorEastAsia" w:cstheme="minorEastAsia"/>
                <w:color w:val="auto"/>
                <w:szCs w:val="21"/>
              </w:rPr>
            </w:pPr>
          </w:p>
        </w:tc>
        <w:tc>
          <w:tcPr>
            <w:tcW w:w="850" w:type="dxa"/>
            <w:vAlign w:val="center"/>
          </w:tcPr>
          <w:p>
            <w:pPr>
              <w:snapToGrid w:val="0"/>
              <w:jc w:val="center"/>
              <w:rPr>
                <w:rFonts w:asciiTheme="minorEastAsia" w:hAnsiTheme="minorEastAsia" w:eastAsiaTheme="minorEastAsia" w:cstheme="minorEastAsia"/>
                <w:color w:val="auto"/>
                <w:szCs w:val="21"/>
              </w:rPr>
            </w:pPr>
          </w:p>
        </w:tc>
        <w:tc>
          <w:tcPr>
            <w:tcW w:w="992" w:type="dxa"/>
            <w:tcBorders>
              <w:right w:val="single" w:color="auto" w:sz="4" w:space="0"/>
            </w:tcBorders>
            <w:vAlign w:val="center"/>
          </w:tcPr>
          <w:p>
            <w:pPr>
              <w:snapToGrid w:val="0"/>
              <w:jc w:val="center"/>
              <w:rPr>
                <w:rFonts w:asciiTheme="minorEastAsia" w:hAnsiTheme="minorEastAsia" w:eastAsiaTheme="minorEastAsia" w:cstheme="minorEastAsia"/>
                <w:color w:val="auto"/>
                <w:szCs w:val="21"/>
              </w:rPr>
            </w:pPr>
          </w:p>
        </w:tc>
        <w:tc>
          <w:tcPr>
            <w:tcW w:w="1701" w:type="dxa"/>
            <w:tcBorders>
              <w:left w:val="single" w:color="auto" w:sz="4" w:space="0"/>
            </w:tcBorders>
            <w:vAlign w:val="center"/>
          </w:tcPr>
          <w:p>
            <w:pPr>
              <w:snapToGrid w:val="0"/>
              <w:jc w:val="center"/>
              <w:rPr>
                <w:rFonts w:asciiTheme="minorEastAsia" w:hAnsiTheme="minorEastAsia" w:eastAsiaTheme="minorEastAsia" w:cstheme="minorEastAsia"/>
                <w:color w:val="auto"/>
                <w:szCs w:val="21"/>
              </w:rPr>
            </w:pPr>
          </w:p>
        </w:tc>
      </w:tr>
    </w:tbl>
    <w:p>
      <w:pPr>
        <w:spacing w:before="156" w:beforeLines="50" w:line="288" w:lineRule="auto"/>
        <w:ind w:left="-122" w:leftChars="-58"/>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供应商名称（公章）：</w:t>
      </w:r>
    </w:p>
    <w:p>
      <w:pPr>
        <w:spacing w:before="156" w:beforeLines="50" w:line="288" w:lineRule="auto"/>
        <w:ind w:left="-122" w:leftChars="-58"/>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法定代表人或其委托代理人（签字或加盖人名章）：</w:t>
      </w:r>
    </w:p>
    <w:p>
      <w:pPr>
        <w:spacing w:before="156" w:beforeLines="50" w:line="288" w:lineRule="auto"/>
        <w:ind w:left="-122" w:leftChars="-58"/>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日期：</w:t>
      </w:r>
    </w:p>
    <w:p>
      <w:pPr>
        <w:spacing w:line="288"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注：1、此表为报价汇总表之备品备件、专用工具和专用试验仪器分项报价表。</w:t>
      </w:r>
    </w:p>
    <w:p>
      <w:pPr>
        <w:spacing w:line="288" w:lineRule="auto"/>
        <w:ind w:left="424" w:leftChars="202"/>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2、所报内容详见采购需求相关条款的要求。</w:t>
      </w:r>
    </w:p>
    <w:p>
      <w:pPr>
        <w:spacing w:line="288"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3、本表费用均需报出，不可填“已含”或“已包括”</w:t>
      </w:r>
    </w:p>
    <w:p>
      <w:pPr>
        <w:spacing w:line="288" w:lineRule="auto"/>
        <w:ind w:firstLine="420" w:firstLineChars="200"/>
        <w:rPr>
          <w:rFonts w:asciiTheme="minorEastAsia" w:hAnsiTheme="minorEastAsia" w:eastAsiaTheme="minorEastAsia" w:cstheme="minorEastAsia"/>
          <w:bCs/>
          <w:color w:val="auto"/>
          <w:szCs w:val="21"/>
        </w:rPr>
      </w:pPr>
    </w:p>
    <w:p>
      <w:pPr>
        <w:spacing w:line="288" w:lineRule="auto"/>
        <w:rPr>
          <w:rFonts w:asciiTheme="minorEastAsia" w:hAnsiTheme="minorEastAsia" w:eastAsiaTheme="minorEastAsia" w:cstheme="minorEastAsia"/>
          <w:bCs/>
          <w:color w:val="auto"/>
          <w:szCs w:val="21"/>
        </w:rPr>
        <w:sectPr>
          <w:pgSz w:w="16838" w:h="11906" w:orient="landscape"/>
          <w:pgMar w:top="1247" w:right="1361" w:bottom="1247" w:left="1440" w:header="851" w:footer="992" w:gutter="0"/>
          <w:cols w:space="720" w:num="1"/>
          <w:docGrid w:type="lines" w:linePitch="312" w:charSpace="0"/>
        </w:sectPr>
      </w:pPr>
    </w:p>
    <w:p>
      <w:pPr>
        <w:spacing w:line="360" w:lineRule="auto"/>
        <w:outlineLvl w:val="2"/>
        <w:rPr>
          <w:rFonts w:asciiTheme="minorEastAsia" w:hAnsiTheme="minorEastAsia" w:eastAsiaTheme="minorEastAsia" w:cstheme="minorEastAsia"/>
          <w:color w:val="auto"/>
          <w:sz w:val="24"/>
        </w:rPr>
      </w:pPr>
      <w:bookmarkStart w:id="224" w:name="_Toc4433589"/>
      <w:bookmarkStart w:id="225" w:name="_Toc19269"/>
      <w:r>
        <w:rPr>
          <w:rFonts w:hint="eastAsia" w:asciiTheme="minorEastAsia" w:hAnsiTheme="minorEastAsia" w:eastAsiaTheme="minorEastAsia" w:cstheme="minorEastAsia"/>
          <w:color w:val="auto"/>
          <w:sz w:val="24"/>
        </w:rPr>
        <w:t>附件5-3：</w:t>
      </w:r>
      <w:r>
        <w:rPr>
          <w:rFonts w:hint="eastAsia" w:asciiTheme="minorEastAsia" w:hAnsiTheme="minorEastAsia" w:eastAsiaTheme="minorEastAsia" w:cstheme="minorEastAsia"/>
          <w:color w:val="auto"/>
          <w:szCs w:val="21"/>
        </w:rPr>
        <w:t>服务费分项报价表</w:t>
      </w:r>
      <w:bookmarkEnd w:id="224"/>
      <w:bookmarkEnd w:id="225"/>
    </w:p>
    <w:p>
      <w:pPr>
        <w:spacing w:before="120" w:beforeLines="50" w:line="288" w:lineRule="auto"/>
        <w:ind w:hanging="104"/>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服务费分项报价表</w:t>
      </w:r>
    </w:p>
    <w:p>
      <w:pPr>
        <w:spacing w:line="288" w:lineRule="auto"/>
        <w:jc w:val="center"/>
        <w:rPr>
          <w:rFonts w:asciiTheme="minorEastAsia" w:hAnsiTheme="minorEastAsia" w:eastAsiaTheme="minorEastAsia" w:cstheme="minorEastAsia"/>
          <w:b/>
          <w:color w:val="auto"/>
          <w:szCs w:val="21"/>
        </w:rPr>
      </w:pPr>
    </w:p>
    <w:p>
      <w:pPr>
        <w:spacing w:line="288"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项目编号： [货币单位：人民币元]</w:t>
      </w:r>
    </w:p>
    <w:tbl>
      <w:tblPr>
        <w:tblStyle w:val="74"/>
        <w:tblW w:w="912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4594"/>
        <w:gridCol w:w="720"/>
        <w:gridCol w:w="720"/>
        <w:gridCol w:w="1080"/>
        <w:gridCol w:w="13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50" w:type="dxa"/>
            <w:vAlign w:val="center"/>
          </w:tcPr>
          <w:p>
            <w:pPr>
              <w:spacing w:line="288"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项号</w:t>
            </w:r>
          </w:p>
        </w:tc>
        <w:tc>
          <w:tcPr>
            <w:tcW w:w="4594" w:type="dxa"/>
            <w:vAlign w:val="center"/>
          </w:tcPr>
          <w:p>
            <w:pPr>
              <w:spacing w:line="288"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服务</w:t>
            </w:r>
          </w:p>
        </w:tc>
        <w:tc>
          <w:tcPr>
            <w:tcW w:w="720" w:type="dxa"/>
            <w:vAlign w:val="center"/>
          </w:tcPr>
          <w:p>
            <w:pPr>
              <w:spacing w:line="288"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数量</w:t>
            </w:r>
          </w:p>
        </w:tc>
        <w:tc>
          <w:tcPr>
            <w:tcW w:w="720" w:type="dxa"/>
            <w:vAlign w:val="center"/>
          </w:tcPr>
          <w:p>
            <w:pPr>
              <w:spacing w:line="288"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单价</w:t>
            </w:r>
          </w:p>
        </w:tc>
        <w:tc>
          <w:tcPr>
            <w:tcW w:w="1080" w:type="dxa"/>
            <w:vAlign w:val="center"/>
          </w:tcPr>
          <w:p>
            <w:pPr>
              <w:spacing w:line="288"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总价</w:t>
            </w:r>
          </w:p>
        </w:tc>
        <w:tc>
          <w:tcPr>
            <w:tcW w:w="1359" w:type="dxa"/>
            <w:vAlign w:val="center"/>
          </w:tcPr>
          <w:p>
            <w:pPr>
              <w:spacing w:line="288"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50" w:type="dxa"/>
            <w:vAlign w:val="center"/>
          </w:tcPr>
          <w:p>
            <w:pPr>
              <w:spacing w:line="288"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4594" w:type="dxa"/>
            <w:vAlign w:val="center"/>
          </w:tcPr>
          <w:p>
            <w:pPr>
              <w:spacing w:line="288"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设计联络</w:t>
            </w:r>
          </w:p>
        </w:tc>
        <w:tc>
          <w:tcPr>
            <w:tcW w:w="720" w:type="dxa"/>
            <w:vAlign w:val="center"/>
          </w:tcPr>
          <w:p>
            <w:pPr>
              <w:spacing w:line="288" w:lineRule="auto"/>
              <w:rPr>
                <w:rFonts w:asciiTheme="minorEastAsia" w:hAnsiTheme="minorEastAsia" w:eastAsiaTheme="minorEastAsia" w:cstheme="minorEastAsia"/>
                <w:color w:val="auto"/>
                <w:szCs w:val="21"/>
              </w:rPr>
            </w:pPr>
          </w:p>
        </w:tc>
        <w:tc>
          <w:tcPr>
            <w:tcW w:w="720" w:type="dxa"/>
            <w:vAlign w:val="center"/>
          </w:tcPr>
          <w:p>
            <w:pPr>
              <w:spacing w:line="288" w:lineRule="auto"/>
              <w:rPr>
                <w:rFonts w:asciiTheme="minorEastAsia" w:hAnsiTheme="minorEastAsia" w:eastAsiaTheme="minorEastAsia" w:cstheme="minorEastAsia"/>
                <w:color w:val="auto"/>
                <w:szCs w:val="21"/>
              </w:rPr>
            </w:pPr>
          </w:p>
        </w:tc>
        <w:tc>
          <w:tcPr>
            <w:tcW w:w="1080" w:type="dxa"/>
            <w:vAlign w:val="center"/>
          </w:tcPr>
          <w:p>
            <w:pPr>
              <w:spacing w:line="288" w:lineRule="auto"/>
              <w:rPr>
                <w:rFonts w:asciiTheme="minorEastAsia" w:hAnsiTheme="minorEastAsia" w:eastAsiaTheme="minorEastAsia" w:cstheme="minorEastAsia"/>
                <w:color w:val="auto"/>
                <w:szCs w:val="21"/>
              </w:rPr>
            </w:pPr>
          </w:p>
        </w:tc>
        <w:tc>
          <w:tcPr>
            <w:tcW w:w="1359" w:type="dxa"/>
            <w:vAlign w:val="center"/>
          </w:tcPr>
          <w:p>
            <w:pPr>
              <w:spacing w:line="288" w:lineRule="auto"/>
              <w:rPr>
                <w:rFonts w:asciiTheme="minorEastAsia" w:hAnsiTheme="minorEastAsia" w:eastAsiaTheme="minorEastAsia" w:cstheme="minorEastAsia"/>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50" w:type="dxa"/>
            <w:vAlign w:val="center"/>
          </w:tcPr>
          <w:p>
            <w:pPr>
              <w:spacing w:line="288"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4594" w:type="dxa"/>
            <w:vAlign w:val="center"/>
          </w:tcPr>
          <w:p>
            <w:pPr>
              <w:spacing w:line="288"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相关验收</w:t>
            </w:r>
          </w:p>
        </w:tc>
        <w:tc>
          <w:tcPr>
            <w:tcW w:w="720" w:type="dxa"/>
            <w:vAlign w:val="center"/>
          </w:tcPr>
          <w:p>
            <w:pPr>
              <w:spacing w:line="288" w:lineRule="auto"/>
              <w:rPr>
                <w:rFonts w:asciiTheme="minorEastAsia" w:hAnsiTheme="minorEastAsia" w:eastAsiaTheme="minorEastAsia" w:cstheme="minorEastAsia"/>
                <w:color w:val="auto"/>
                <w:szCs w:val="21"/>
              </w:rPr>
            </w:pPr>
          </w:p>
        </w:tc>
        <w:tc>
          <w:tcPr>
            <w:tcW w:w="720" w:type="dxa"/>
            <w:vAlign w:val="center"/>
          </w:tcPr>
          <w:p>
            <w:pPr>
              <w:spacing w:line="288" w:lineRule="auto"/>
              <w:rPr>
                <w:rFonts w:asciiTheme="minorEastAsia" w:hAnsiTheme="minorEastAsia" w:eastAsiaTheme="minorEastAsia" w:cstheme="minorEastAsia"/>
                <w:color w:val="auto"/>
                <w:szCs w:val="21"/>
              </w:rPr>
            </w:pPr>
          </w:p>
        </w:tc>
        <w:tc>
          <w:tcPr>
            <w:tcW w:w="1080" w:type="dxa"/>
            <w:vAlign w:val="center"/>
          </w:tcPr>
          <w:p>
            <w:pPr>
              <w:spacing w:line="288" w:lineRule="auto"/>
              <w:rPr>
                <w:rFonts w:asciiTheme="minorEastAsia" w:hAnsiTheme="minorEastAsia" w:eastAsiaTheme="minorEastAsia" w:cstheme="minorEastAsia"/>
                <w:color w:val="auto"/>
                <w:szCs w:val="21"/>
              </w:rPr>
            </w:pPr>
          </w:p>
        </w:tc>
        <w:tc>
          <w:tcPr>
            <w:tcW w:w="1359" w:type="dxa"/>
            <w:vAlign w:val="center"/>
          </w:tcPr>
          <w:p>
            <w:pPr>
              <w:spacing w:line="288" w:lineRule="auto"/>
              <w:rPr>
                <w:rFonts w:asciiTheme="minorEastAsia" w:hAnsiTheme="minorEastAsia" w:eastAsiaTheme="minorEastAsia" w:cstheme="minorEastAsia"/>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50" w:type="dxa"/>
            <w:vAlign w:val="center"/>
          </w:tcPr>
          <w:p>
            <w:pPr>
              <w:spacing w:line="288"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4594" w:type="dxa"/>
            <w:vAlign w:val="center"/>
          </w:tcPr>
          <w:p>
            <w:pPr>
              <w:spacing w:line="288"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安装调试（或安装督导）</w:t>
            </w:r>
          </w:p>
        </w:tc>
        <w:tc>
          <w:tcPr>
            <w:tcW w:w="720" w:type="dxa"/>
            <w:vAlign w:val="center"/>
          </w:tcPr>
          <w:p>
            <w:pPr>
              <w:spacing w:line="288" w:lineRule="auto"/>
              <w:rPr>
                <w:rFonts w:asciiTheme="minorEastAsia" w:hAnsiTheme="minorEastAsia" w:eastAsiaTheme="minorEastAsia" w:cstheme="minorEastAsia"/>
                <w:color w:val="auto"/>
                <w:szCs w:val="21"/>
              </w:rPr>
            </w:pPr>
          </w:p>
        </w:tc>
        <w:tc>
          <w:tcPr>
            <w:tcW w:w="720" w:type="dxa"/>
            <w:vAlign w:val="center"/>
          </w:tcPr>
          <w:p>
            <w:pPr>
              <w:spacing w:line="288" w:lineRule="auto"/>
              <w:rPr>
                <w:rFonts w:asciiTheme="minorEastAsia" w:hAnsiTheme="minorEastAsia" w:eastAsiaTheme="minorEastAsia" w:cstheme="minorEastAsia"/>
                <w:color w:val="auto"/>
                <w:szCs w:val="21"/>
              </w:rPr>
            </w:pPr>
          </w:p>
        </w:tc>
        <w:tc>
          <w:tcPr>
            <w:tcW w:w="1080" w:type="dxa"/>
            <w:vAlign w:val="center"/>
          </w:tcPr>
          <w:p>
            <w:pPr>
              <w:spacing w:line="288" w:lineRule="auto"/>
              <w:rPr>
                <w:rFonts w:asciiTheme="minorEastAsia" w:hAnsiTheme="minorEastAsia" w:eastAsiaTheme="minorEastAsia" w:cstheme="minorEastAsia"/>
                <w:color w:val="auto"/>
                <w:szCs w:val="21"/>
              </w:rPr>
            </w:pPr>
          </w:p>
        </w:tc>
        <w:tc>
          <w:tcPr>
            <w:tcW w:w="1359" w:type="dxa"/>
            <w:vAlign w:val="center"/>
          </w:tcPr>
          <w:p>
            <w:pPr>
              <w:spacing w:line="288" w:lineRule="auto"/>
              <w:rPr>
                <w:rFonts w:asciiTheme="minorEastAsia" w:hAnsiTheme="minorEastAsia" w:eastAsiaTheme="minorEastAsia" w:cstheme="minorEastAsia"/>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50" w:type="dxa"/>
            <w:vAlign w:val="center"/>
          </w:tcPr>
          <w:p>
            <w:pPr>
              <w:spacing w:line="288"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p>
        </w:tc>
        <w:tc>
          <w:tcPr>
            <w:tcW w:w="4594" w:type="dxa"/>
            <w:vAlign w:val="center"/>
          </w:tcPr>
          <w:p>
            <w:pPr>
              <w:spacing w:line="288"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培训</w:t>
            </w:r>
          </w:p>
        </w:tc>
        <w:tc>
          <w:tcPr>
            <w:tcW w:w="720" w:type="dxa"/>
            <w:vAlign w:val="center"/>
          </w:tcPr>
          <w:p>
            <w:pPr>
              <w:spacing w:line="288" w:lineRule="auto"/>
              <w:rPr>
                <w:rFonts w:asciiTheme="minorEastAsia" w:hAnsiTheme="minorEastAsia" w:eastAsiaTheme="minorEastAsia" w:cstheme="minorEastAsia"/>
                <w:color w:val="auto"/>
                <w:szCs w:val="21"/>
              </w:rPr>
            </w:pPr>
          </w:p>
        </w:tc>
        <w:tc>
          <w:tcPr>
            <w:tcW w:w="720" w:type="dxa"/>
            <w:vAlign w:val="center"/>
          </w:tcPr>
          <w:p>
            <w:pPr>
              <w:spacing w:line="288" w:lineRule="auto"/>
              <w:rPr>
                <w:rFonts w:asciiTheme="minorEastAsia" w:hAnsiTheme="minorEastAsia" w:eastAsiaTheme="minorEastAsia" w:cstheme="minorEastAsia"/>
                <w:color w:val="auto"/>
                <w:szCs w:val="21"/>
              </w:rPr>
            </w:pPr>
          </w:p>
        </w:tc>
        <w:tc>
          <w:tcPr>
            <w:tcW w:w="1080" w:type="dxa"/>
            <w:vAlign w:val="center"/>
          </w:tcPr>
          <w:p>
            <w:pPr>
              <w:spacing w:line="288" w:lineRule="auto"/>
              <w:rPr>
                <w:rFonts w:asciiTheme="minorEastAsia" w:hAnsiTheme="minorEastAsia" w:eastAsiaTheme="minorEastAsia" w:cstheme="minorEastAsia"/>
                <w:color w:val="auto"/>
                <w:szCs w:val="21"/>
              </w:rPr>
            </w:pPr>
          </w:p>
        </w:tc>
        <w:tc>
          <w:tcPr>
            <w:tcW w:w="1359" w:type="dxa"/>
            <w:vAlign w:val="center"/>
          </w:tcPr>
          <w:p>
            <w:pPr>
              <w:spacing w:line="288" w:lineRule="auto"/>
              <w:rPr>
                <w:rFonts w:asciiTheme="minorEastAsia" w:hAnsiTheme="minorEastAsia" w:eastAsiaTheme="minorEastAsia" w:cstheme="minorEastAsia"/>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50" w:type="dxa"/>
            <w:vAlign w:val="center"/>
          </w:tcPr>
          <w:p>
            <w:pPr>
              <w:spacing w:line="288"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4594" w:type="dxa"/>
            <w:vAlign w:val="center"/>
          </w:tcPr>
          <w:p>
            <w:pPr>
              <w:spacing w:line="288"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配合费用</w:t>
            </w:r>
          </w:p>
        </w:tc>
        <w:tc>
          <w:tcPr>
            <w:tcW w:w="720" w:type="dxa"/>
            <w:vAlign w:val="center"/>
          </w:tcPr>
          <w:p>
            <w:pPr>
              <w:spacing w:line="288" w:lineRule="auto"/>
              <w:rPr>
                <w:rFonts w:asciiTheme="minorEastAsia" w:hAnsiTheme="minorEastAsia" w:eastAsiaTheme="minorEastAsia" w:cstheme="minorEastAsia"/>
                <w:color w:val="auto"/>
                <w:szCs w:val="21"/>
              </w:rPr>
            </w:pPr>
          </w:p>
        </w:tc>
        <w:tc>
          <w:tcPr>
            <w:tcW w:w="720" w:type="dxa"/>
            <w:vAlign w:val="center"/>
          </w:tcPr>
          <w:p>
            <w:pPr>
              <w:spacing w:line="288" w:lineRule="auto"/>
              <w:rPr>
                <w:rFonts w:asciiTheme="minorEastAsia" w:hAnsiTheme="minorEastAsia" w:eastAsiaTheme="minorEastAsia" w:cstheme="minorEastAsia"/>
                <w:color w:val="auto"/>
                <w:szCs w:val="21"/>
              </w:rPr>
            </w:pPr>
          </w:p>
        </w:tc>
        <w:tc>
          <w:tcPr>
            <w:tcW w:w="1080" w:type="dxa"/>
            <w:vAlign w:val="center"/>
          </w:tcPr>
          <w:p>
            <w:pPr>
              <w:spacing w:line="288" w:lineRule="auto"/>
              <w:rPr>
                <w:rFonts w:asciiTheme="minorEastAsia" w:hAnsiTheme="minorEastAsia" w:eastAsiaTheme="minorEastAsia" w:cstheme="minorEastAsia"/>
                <w:color w:val="auto"/>
                <w:szCs w:val="21"/>
              </w:rPr>
            </w:pPr>
          </w:p>
        </w:tc>
        <w:tc>
          <w:tcPr>
            <w:tcW w:w="1359" w:type="dxa"/>
            <w:vAlign w:val="center"/>
          </w:tcPr>
          <w:p>
            <w:pPr>
              <w:spacing w:line="288" w:lineRule="auto"/>
              <w:rPr>
                <w:rFonts w:asciiTheme="minorEastAsia" w:hAnsiTheme="minorEastAsia" w:eastAsiaTheme="minorEastAsia" w:cstheme="minorEastAsia"/>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50" w:type="dxa"/>
            <w:vAlign w:val="center"/>
          </w:tcPr>
          <w:p>
            <w:pPr>
              <w:spacing w:line="288"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4594" w:type="dxa"/>
            <w:vAlign w:val="center"/>
          </w:tcPr>
          <w:p>
            <w:pPr>
              <w:spacing w:line="288"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720" w:type="dxa"/>
            <w:vAlign w:val="center"/>
          </w:tcPr>
          <w:p>
            <w:pPr>
              <w:spacing w:line="288" w:lineRule="auto"/>
              <w:rPr>
                <w:rFonts w:asciiTheme="minorEastAsia" w:hAnsiTheme="minorEastAsia" w:eastAsiaTheme="minorEastAsia" w:cstheme="minorEastAsia"/>
                <w:color w:val="auto"/>
                <w:szCs w:val="21"/>
              </w:rPr>
            </w:pPr>
          </w:p>
        </w:tc>
        <w:tc>
          <w:tcPr>
            <w:tcW w:w="720" w:type="dxa"/>
            <w:vAlign w:val="center"/>
          </w:tcPr>
          <w:p>
            <w:pPr>
              <w:spacing w:line="288" w:lineRule="auto"/>
              <w:rPr>
                <w:rFonts w:asciiTheme="minorEastAsia" w:hAnsiTheme="minorEastAsia" w:eastAsiaTheme="minorEastAsia" w:cstheme="minorEastAsia"/>
                <w:color w:val="auto"/>
                <w:szCs w:val="21"/>
              </w:rPr>
            </w:pPr>
          </w:p>
        </w:tc>
        <w:tc>
          <w:tcPr>
            <w:tcW w:w="1080" w:type="dxa"/>
            <w:vAlign w:val="center"/>
          </w:tcPr>
          <w:p>
            <w:pPr>
              <w:spacing w:line="288" w:lineRule="auto"/>
              <w:rPr>
                <w:rFonts w:asciiTheme="minorEastAsia" w:hAnsiTheme="minorEastAsia" w:eastAsiaTheme="minorEastAsia" w:cstheme="minorEastAsia"/>
                <w:color w:val="auto"/>
                <w:szCs w:val="21"/>
              </w:rPr>
            </w:pPr>
          </w:p>
        </w:tc>
        <w:tc>
          <w:tcPr>
            <w:tcW w:w="1359" w:type="dxa"/>
            <w:vAlign w:val="center"/>
          </w:tcPr>
          <w:p>
            <w:pPr>
              <w:spacing w:line="288" w:lineRule="auto"/>
              <w:rPr>
                <w:rFonts w:asciiTheme="minorEastAsia" w:hAnsiTheme="minorEastAsia" w:eastAsiaTheme="minorEastAsia" w:cstheme="minorEastAsia"/>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50" w:type="dxa"/>
            <w:vAlign w:val="center"/>
          </w:tcPr>
          <w:p>
            <w:pPr>
              <w:spacing w:line="288" w:lineRule="auto"/>
              <w:rPr>
                <w:rFonts w:asciiTheme="minorEastAsia" w:hAnsiTheme="minorEastAsia" w:eastAsiaTheme="minorEastAsia" w:cstheme="minorEastAsia"/>
                <w:color w:val="auto"/>
                <w:szCs w:val="21"/>
              </w:rPr>
            </w:pPr>
          </w:p>
        </w:tc>
        <w:tc>
          <w:tcPr>
            <w:tcW w:w="4594" w:type="dxa"/>
            <w:vAlign w:val="center"/>
          </w:tcPr>
          <w:p>
            <w:pPr>
              <w:spacing w:line="288" w:lineRule="auto"/>
              <w:rPr>
                <w:rFonts w:asciiTheme="minorEastAsia" w:hAnsiTheme="minorEastAsia" w:eastAsiaTheme="minorEastAsia" w:cstheme="minorEastAsia"/>
                <w:color w:val="auto"/>
                <w:szCs w:val="21"/>
              </w:rPr>
            </w:pPr>
          </w:p>
        </w:tc>
        <w:tc>
          <w:tcPr>
            <w:tcW w:w="720" w:type="dxa"/>
            <w:vAlign w:val="center"/>
          </w:tcPr>
          <w:p>
            <w:pPr>
              <w:spacing w:line="288" w:lineRule="auto"/>
              <w:rPr>
                <w:rFonts w:asciiTheme="minorEastAsia" w:hAnsiTheme="minorEastAsia" w:eastAsiaTheme="minorEastAsia" w:cstheme="minorEastAsia"/>
                <w:color w:val="auto"/>
                <w:szCs w:val="21"/>
              </w:rPr>
            </w:pPr>
          </w:p>
        </w:tc>
        <w:tc>
          <w:tcPr>
            <w:tcW w:w="720" w:type="dxa"/>
            <w:vAlign w:val="center"/>
          </w:tcPr>
          <w:p>
            <w:pPr>
              <w:spacing w:line="288" w:lineRule="auto"/>
              <w:rPr>
                <w:rFonts w:asciiTheme="minorEastAsia" w:hAnsiTheme="minorEastAsia" w:eastAsiaTheme="minorEastAsia" w:cstheme="minorEastAsia"/>
                <w:color w:val="auto"/>
                <w:szCs w:val="21"/>
              </w:rPr>
            </w:pPr>
          </w:p>
        </w:tc>
        <w:tc>
          <w:tcPr>
            <w:tcW w:w="1080" w:type="dxa"/>
            <w:vAlign w:val="center"/>
          </w:tcPr>
          <w:p>
            <w:pPr>
              <w:spacing w:line="288" w:lineRule="auto"/>
              <w:rPr>
                <w:rFonts w:asciiTheme="minorEastAsia" w:hAnsiTheme="minorEastAsia" w:eastAsiaTheme="minorEastAsia" w:cstheme="minorEastAsia"/>
                <w:color w:val="auto"/>
                <w:szCs w:val="21"/>
              </w:rPr>
            </w:pPr>
          </w:p>
        </w:tc>
        <w:tc>
          <w:tcPr>
            <w:tcW w:w="1359" w:type="dxa"/>
            <w:vAlign w:val="center"/>
          </w:tcPr>
          <w:p>
            <w:pPr>
              <w:spacing w:line="288" w:lineRule="auto"/>
              <w:rPr>
                <w:rFonts w:asciiTheme="minorEastAsia" w:hAnsiTheme="minorEastAsia" w:eastAsiaTheme="minorEastAsia" w:cstheme="minorEastAsia"/>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50" w:type="dxa"/>
            <w:vAlign w:val="center"/>
          </w:tcPr>
          <w:p>
            <w:pPr>
              <w:spacing w:line="288" w:lineRule="auto"/>
              <w:rPr>
                <w:rFonts w:asciiTheme="minorEastAsia" w:hAnsiTheme="minorEastAsia" w:eastAsiaTheme="minorEastAsia" w:cstheme="minorEastAsia"/>
                <w:color w:val="auto"/>
                <w:szCs w:val="21"/>
              </w:rPr>
            </w:pPr>
          </w:p>
        </w:tc>
        <w:tc>
          <w:tcPr>
            <w:tcW w:w="4594" w:type="dxa"/>
            <w:vAlign w:val="center"/>
          </w:tcPr>
          <w:p>
            <w:pPr>
              <w:spacing w:line="288" w:lineRule="auto"/>
              <w:rPr>
                <w:rFonts w:asciiTheme="minorEastAsia" w:hAnsiTheme="minorEastAsia" w:eastAsiaTheme="minorEastAsia" w:cstheme="minorEastAsia"/>
                <w:color w:val="auto"/>
                <w:szCs w:val="21"/>
              </w:rPr>
            </w:pPr>
          </w:p>
        </w:tc>
        <w:tc>
          <w:tcPr>
            <w:tcW w:w="720" w:type="dxa"/>
            <w:vAlign w:val="center"/>
          </w:tcPr>
          <w:p>
            <w:pPr>
              <w:spacing w:line="288" w:lineRule="auto"/>
              <w:rPr>
                <w:rFonts w:asciiTheme="minorEastAsia" w:hAnsiTheme="minorEastAsia" w:eastAsiaTheme="minorEastAsia" w:cstheme="minorEastAsia"/>
                <w:color w:val="auto"/>
                <w:szCs w:val="21"/>
              </w:rPr>
            </w:pPr>
          </w:p>
        </w:tc>
        <w:tc>
          <w:tcPr>
            <w:tcW w:w="720" w:type="dxa"/>
            <w:vAlign w:val="center"/>
          </w:tcPr>
          <w:p>
            <w:pPr>
              <w:spacing w:line="288" w:lineRule="auto"/>
              <w:rPr>
                <w:rFonts w:asciiTheme="minorEastAsia" w:hAnsiTheme="minorEastAsia" w:eastAsiaTheme="minorEastAsia" w:cstheme="minorEastAsia"/>
                <w:color w:val="auto"/>
                <w:szCs w:val="21"/>
              </w:rPr>
            </w:pPr>
          </w:p>
        </w:tc>
        <w:tc>
          <w:tcPr>
            <w:tcW w:w="1080" w:type="dxa"/>
            <w:vAlign w:val="center"/>
          </w:tcPr>
          <w:p>
            <w:pPr>
              <w:spacing w:line="288" w:lineRule="auto"/>
              <w:rPr>
                <w:rFonts w:asciiTheme="minorEastAsia" w:hAnsiTheme="minorEastAsia" w:eastAsiaTheme="minorEastAsia" w:cstheme="minorEastAsia"/>
                <w:color w:val="auto"/>
                <w:szCs w:val="21"/>
              </w:rPr>
            </w:pPr>
          </w:p>
        </w:tc>
        <w:tc>
          <w:tcPr>
            <w:tcW w:w="1359" w:type="dxa"/>
            <w:vAlign w:val="center"/>
          </w:tcPr>
          <w:p>
            <w:pPr>
              <w:spacing w:line="288" w:lineRule="auto"/>
              <w:rPr>
                <w:rFonts w:asciiTheme="minorEastAsia" w:hAnsiTheme="minorEastAsia" w:eastAsiaTheme="minorEastAsia" w:cstheme="minorEastAsia"/>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4" w:type="dxa"/>
            <w:gridSpan w:val="4"/>
            <w:vAlign w:val="center"/>
          </w:tcPr>
          <w:p>
            <w:pPr>
              <w:spacing w:line="288"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合计</w:t>
            </w:r>
          </w:p>
        </w:tc>
        <w:tc>
          <w:tcPr>
            <w:tcW w:w="1080" w:type="dxa"/>
          </w:tcPr>
          <w:p>
            <w:pPr>
              <w:spacing w:line="288" w:lineRule="auto"/>
              <w:rPr>
                <w:rFonts w:asciiTheme="minorEastAsia" w:hAnsiTheme="minorEastAsia" w:eastAsiaTheme="minorEastAsia" w:cstheme="minorEastAsia"/>
                <w:color w:val="auto"/>
                <w:szCs w:val="21"/>
              </w:rPr>
            </w:pPr>
          </w:p>
        </w:tc>
        <w:tc>
          <w:tcPr>
            <w:tcW w:w="1359" w:type="dxa"/>
          </w:tcPr>
          <w:p>
            <w:pPr>
              <w:spacing w:line="288" w:lineRule="auto"/>
              <w:rPr>
                <w:rFonts w:asciiTheme="minorEastAsia" w:hAnsiTheme="minorEastAsia" w:eastAsiaTheme="minorEastAsia" w:cstheme="minorEastAsia"/>
                <w:color w:val="auto"/>
                <w:szCs w:val="21"/>
              </w:rPr>
            </w:pPr>
          </w:p>
        </w:tc>
      </w:tr>
    </w:tbl>
    <w:p>
      <w:pPr>
        <w:spacing w:before="120" w:beforeLines="50" w:line="288" w:lineRule="auto"/>
        <w:ind w:left="-103" w:leftChars="-49" w:firstLine="15"/>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供应商名称（公章）：</w:t>
      </w:r>
    </w:p>
    <w:p>
      <w:pPr>
        <w:spacing w:before="120" w:beforeLines="50" w:line="288" w:lineRule="auto"/>
        <w:ind w:left="-103" w:leftChars="-49"/>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法定代表人或其委托代理人（签字或加盖人名章）：</w:t>
      </w:r>
    </w:p>
    <w:p>
      <w:pPr>
        <w:spacing w:before="120" w:beforeLines="50" w:line="288" w:lineRule="auto"/>
        <w:ind w:left="-103" w:leftChars="-49"/>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日期：</w:t>
      </w:r>
    </w:p>
    <w:p>
      <w:pPr>
        <w:snapToGrid w:val="0"/>
        <w:spacing w:after="120" w:afterLines="50" w:line="288" w:lineRule="auto"/>
        <w:ind w:left="708" w:hanging="707" w:hangingChars="337"/>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注：1、</w:t>
      </w:r>
      <w:r>
        <w:rPr>
          <w:rFonts w:hint="eastAsia" w:asciiTheme="minorEastAsia" w:hAnsiTheme="minorEastAsia" w:eastAsiaTheme="minorEastAsia" w:cstheme="minorEastAsia"/>
          <w:color w:val="auto"/>
          <w:szCs w:val="21"/>
        </w:rPr>
        <w:t>此表为报价汇总表之服务费分项报价表。上述服务项目应由供应商根据供应商的经验及本磋商项目的特点进行合理报价，上述服务项目的报价基准，参见“采购需求”的要求。</w:t>
      </w:r>
    </w:p>
    <w:p>
      <w:pPr>
        <w:spacing w:line="288" w:lineRule="auto"/>
        <w:ind w:left="424" w:leftChars="202"/>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2、供应商所涉及的所有服务费用均应含在此报价表中。</w:t>
      </w:r>
    </w:p>
    <w:p>
      <w:pPr>
        <w:spacing w:line="288"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br w:type="page"/>
      </w:r>
    </w:p>
    <w:p>
      <w:pPr>
        <w:spacing w:line="360" w:lineRule="auto"/>
        <w:outlineLvl w:val="2"/>
        <w:rPr>
          <w:rFonts w:asciiTheme="minorEastAsia" w:hAnsiTheme="minorEastAsia" w:eastAsiaTheme="minorEastAsia" w:cstheme="minorEastAsia"/>
          <w:color w:val="auto"/>
          <w:sz w:val="24"/>
        </w:rPr>
      </w:pPr>
      <w:bookmarkStart w:id="226" w:name="_Toc29579"/>
      <w:bookmarkStart w:id="227" w:name="_Toc4433590"/>
      <w:r>
        <w:rPr>
          <w:rFonts w:hint="eastAsia" w:asciiTheme="minorEastAsia" w:hAnsiTheme="minorEastAsia" w:eastAsiaTheme="minorEastAsia" w:cstheme="minorEastAsia"/>
          <w:color w:val="auto"/>
          <w:sz w:val="24"/>
        </w:rPr>
        <w:t xml:space="preserve">附件5-4  </w:t>
      </w:r>
      <w:r>
        <w:rPr>
          <w:rFonts w:hint="eastAsia" w:asciiTheme="minorEastAsia" w:hAnsiTheme="minorEastAsia" w:eastAsiaTheme="minorEastAsia" w:cstheme="minorEastAsia"/>
          <w:color w:val="auto"/>
          <w:szCs w:val="21"/>
        </w:rPr>
        <w:t>单件货物价格构成表</w:t>
      </w:r>
      <w:bookmarkEnd w:id="226"/>
      <w:bookmarkEnd w:id="227"/>
    </w:p>
    <w:p>
      <w:pPr>
        <w:spacing w:before="120" w:beforeLines="50" w:line="288" w:lineRule="auto"/>
        <w:ind w:hanging="104"/>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单件货物价格构成表</w:t>
      </w:r>
    </w:p>
    <w:p>
      <w:pPr>
        <w:spacing w:line="288" w:lineRule="auto"/>
        <w:rPr>
          <w:rFonts w:asciiTheme="minorEastAsia" w:hAnsiTheme="minorEastAsia" w:eastAsiaTheme="minorEastAsia" w:cstheme="minorEastAsia"/>
          <w:color w:val="auto"/>
          <w:szCs w:val="21"/>
        </w:rPr>
      </w:pPr>
    </w:p>
    <w:p>
      <w:pPr>
        <w:spacing w:line="288"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项目编号：[货币单位：人民币元]</w:t>
      </w:r>
    </w:p>
    <w:tbl>
      <w:tblPr>
        <w:tblStyle w:val="74"/>
        <w:tblW w:w="9174"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6"/>
        <w:gridCol w:w="1590"/>
        <w:gridCol w:w="410"/>
        <w:gridCol w:w="470"/>
        <w:gridCol w:w="757"/>
        <w:gridCol w:w="1598"/>
        <w:gridCol w:w="1237"/>
        <w:gridCol w:w="1238"/>
        <w:gridCol w:w="1238"/>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73" w:hRule="exact"/>
          <w:jc w:val="center"/>
        </w:trPr>
        <w:tc>
          <w:tcPr>
            <w:tcW w:w="2636" w:type="dxa"/>
            <w:gridSpan w:val="3"/>
            <w:vAlign w:val="center"/>
          </w:tcPr>
          <w:p>
            <w:pPr>
              <w:spacing w:line="288"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货物名称</w:t>
            </w:r>
          </w:p>
        </w:tc>
        <w:tc>
          <w:tcPr>
            <w:tcW w:w="6538" w:type="dxa"/>
            <w:gridSpan w:val="6"/>
            <w:vAlign w:val="center"/>
          </w:tcPr>
          <w:p>
            <w:pPr>
              <w:spacing w:line="288" w:lineRule="auto"/>
              <w:jc w:val="center"/>
              <w:rPr>
                <w:rFonts w:asciiTheme="minorEastAsia" w:hAnsiTheme="minorEastAsia" w:eastAsiaTheme="minorEastAsia" w:cstheme="minorEastAsia"/>
                <w:b/>
                <w:color w:val="auto"/>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jc w:val="center"/>
        </w:trPr>
        <w:tc>
          <w:tcPr>
            <w:tcW w:w="9174" w:type="dxa"/>
            <w:gridSpan w:val="9"/>
            <w:vAlign w:val="center"/>
          </w:tcPr>
          <w:p>
            <w:pPr>
              <w:spacing w:line="288" w:lineRule="auto"/>
              <w:ind w:firstLine="3849" w:firstLineChars="1833"/>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主要元器件（/材料）明细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28" w:hRule="exact"/>
          <w:jc w:val="center"/>
        </w:trPr>
        <w:tc>
          <w:tcPr>
            <w:tcW w:w="636" w:type="dxa"/>
            <w:vAlign w:val="center"/>
          </w:tcPr>
          <w:p>
            <w:pPr>
              <w:spacing w:line="288"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序号</w:t>
            </w:r>
          </w:p>
        </w:tc>
        <w:tc>
          <w:tcPr>
            <w:tcW w:w="1590" w:type="dxa"/>
            <w:vAlign w:val="center"/>
          </w:tcPr>
          <w:p>
            <w:pPr>
              <w:spacing w:line="288"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名称</w:t>
            </w:r>
          </w:p>
        </w:tc>
        <w:tc>
          <w:tcPr>
            <w:tcW w:w="880" w:type="dxa"/>
            <w:gridSpan w:val="2"/>
            <w:vAlign w:val="center"/>
          </w:tcPr>
          <w:p>
            <w:pPr>
              <w:spacing w:line="288"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规格</w:t>
            </w:r>
          </w:p>
        </w:tc>
        <w:tc>
          <w:tcPr>
            <w:tcW w:w="757" w:type="dxa"/>
            <w:vAlign w:val="center"/>
          </w:tcPr>
          <w:p>
            <w:pPr>
              <w:spacing w:line="288"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型号</w:t>
            </w:r>
          </w:p>
        </w:tc>
        <w:tc>
          <w:tcPr>
            <w:tcW w:w="1598" w:type="dxa"/>
            <w:vAlign w:val="center"/>
          </w:tcPr>
          <w:p>
            <w:pPr>
              <w:spacing w:line="288"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生产厂家/产地</w:t>
            </w:r>
          </w:p>
        </w:tc>
        <w:tc>
          <w:tcPr>
            <w:tcW w:w="1237" w:type="dxa"/>
            <w:vAlign w:val="center"/>
          </w:tcPr>
          <w:p>
            <w:pPr>
              <w:spacing w:line="288"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数量（个）</w:t>
            </w:r>
          </w:p>
        </w:tc>
        <w:tc>
          <w:tcPr>
            <w:tcW w:w="1238" w:type="dxa"/>
            <w:vAlign w:val="center"/>
          </w:tcPr>
          <w:p>
            <w:pPr>
              <w:spacing w:line="288"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单价（元）</w:t>
            </w:r>
          </w:p>
        </w:tc>
        <w:tc>
          <w:tcPr>
            <w:tcW w:w="1238" w:type="dxa"/>
            <w:vAlign w:val="center"/>
          </w:tcPr>
          <w:p>
            <w:pPr>
              <w:spacing w:line="288"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合价（元）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59" w:hRule="exact"/>
          <w:jc w:val="center"/>
        </w:trPr>
        <w:tc>
          <w:tcPr>
            <w:tcW w:w="636" w:type="dxa"/>
            <w:vAlign w:val="center"/>
          </w:tcPr>
          <w:p>
            <w:pPr>
              <w:spacing w:line="288"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1590" w:type="dxa"/>
            <w:vAlign w:val="center"/>
          </w:tcPr>
          <w:p>
            <w:pPr>
              <w:spacing w:line="288" w:lineRule="auto"/>
              <w:rPr>
                <w:rFonts w:asciiTheme="minorEastAsia" w:hAnsiTheme="minorEastAsia" w:eastAsiaTheme="minorEastAsia" w:cstheme="minorEastAsia"/>
                <w:color w:val="auto"/>
                <w:szCs w:val="21"/>
              </w:rPr>
            </w:pPr>
          </w:p>
        </w:tc>
        <w:tc>
          <w:tcPr>
            <w:tcW w:w="880" w:type="dxa"/>
            <w:gridSpan w:val="2"/>
            <w:vAlign w:val="center"/>
          </w:tcPr>
          <w:p>
            <w:pPr>
              <w:spacing w:line="288" w:lineRule="auto"/>
              <w:jc w:val="center"/>
              <w:rPr>
                <w:rFonts w:asciiTheme="minorEastAsia" w:hAnsiTheme="minorEastAsia" w:eastAsiaTheme="minorEastAsia" w:cstheme="minorEastAsia"/>
                <w:b/>
                <w:color w:val="auto"/>
                <w:szCs w:val="21"/>
              </w:rPr>
            </w:pPr>
          </w:p>
        </w:tc>
        <w:tc>
          <w:tcPr>
            <w:tcW w:w="757" w:type="dxa"/>
            <w:vAlign w:val="center"/>
          </w:tcPr>
          <w:p>
            <w:pPr>
              <w:spacing w:line="288" w:lineRule="auto"/>
              <w:jc w:val="center"/>
              <w:rPr>
                <w:rFonts w:asciiTheme="minorEastAsia" w:hAnsiTheme="minorEastAsia" w:eastAsiaTheme="minorEastAsia" w:cstheme="minorEastAsia"/>
                <w:b/>
                <w:color w:val="auto"/>
                <w:szCs w:val="21"/>
              </w:rPr>
            </w:pPr>
          </w:p>
        </w:tc>
        <w:tc>
          <w:tcPr>
            <w:tcW w:w="1598" w:type="dxa"/>
            <w:vAlign w:val="center"/>
          </w:tcPr>
          <w:p>
            <w:pPr>
              <w:spacing w:line="288" w:lineRule="auto"/>
              <w:jc w:val="center"/>
              <w:rPr>
                <w:rFonts w:asciiTheme="minorEastAsia" w:hAnsiTheme="minorEastAsia" w:eastAsiaTheme="minorEastAsia" w:cstheme="minorEastAsia"/>
                <w:b/>
                <w:color w:val="auto"/>
                <w:szCs w:val="21"/>
              </w:rPr>
            </w:pPr>
          </w:p>
        </w:tc>
        <w:tc>
          <w:tcPr>
            <w:tcW w:w="1237" w:type="dxa"/>
            <w:vAlign w:val="center"/>
          </w:tcPr>
          <w:p>
            <w:pPr>
              <w:spacing w:line="288" w:lineRule="auto"/>
              <w:jc w:val="center"/>
              <w:rPr>
                <w:rFonts w:asciiTheme="minorEastAsia" w:hAnsiTheme="minorEastAsia" w:eastAsiaTheme="minorEastAsia" w:cstheme="minorEastAsia"/>
                <w:b/>
                <w:color w:val="auto"/>
                <w:szCs w:val="21"/>
              </w:rPr>
            </w:pPr>
          </w:p>
        </w:tc>
        <w:tc>
          <w:tcPr>
            <w:tcW w:w="1238" w:type="dxa"/>
            <w:vAlign w:val="center"/>
          </w:tcPr>
          <w:p>
            <w:pPr>
              <w:spacing w:line="288" w:lineRule="auto"/>
              <w:jc w:val="center"/>
              <w:rPr>
                <w:rFonts w:asciiTheme="minorEastAsia" w:hAnsiTheme="minorEastAsia" w:eastAsiaTheme="minorEastAsia" w:cstheme="minorEastAsia"/>
                <w:b/>
                <w:color w:val="auto"/>
                <w:szCs w:val="21"/>
              </w:rPr>
            </w:pPr>
          </w:p>
        </w:tc>
        <w:tc>
          <w:tcPr>
            <w:tcW w:w="1238" w:type="dxa"/>
            <w:vAlign w:val="center"/>
          </w:tcPr>
          <w:p>
            <w:pPr>
              <w:spacing w:line="288" w:lineRule="auto"/>
              <w:jc w:val="center"/>
              <w:rPr>
                <w:rFonts w:asciiTheme="minorEastAsia" w:hAnsiTheme="minorEastAsia" w:eastAsiaTheme="minorEastAsia" w:cstheme="minorEastAsia"/>
                <w:b/>
                <w:color w:val="auto"/>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22" w:hRule="exact"/>
          <w:jc w:val="center"/>
        </w:trPr>
        <w:tc>
          <w:tcPr>
            <w:tcW w:w="636" w:type="dxa"/>
            <w:vAlign w:val="center"/>
          </w:tcPr>
          <w:p>
            <w:pPr>
              <w:spacing w:line="288"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1590" w:type="dxa"/>
            <w:vAlign w:val="center"/>
          </w:tcPr>
          <w:p>
            <w:pPr>
              <w:spacing w:line="288" w:lineRule="auto"/>
              <w:rPr>
                <w:rFonts w:asciiTheme="minorEastAsia" w:hAnsiTheme="minorEastAsia" w:eastAsiaTheme="minorEastAsia" w:cstheme="minorEastAsia"/>
                <w:color w:val="auto"/>
                <w:szCs w:val="21"/>
              </w:rPr>
            </w:pPr>
          </w:p>
        </w:tc>
        <w:tc>
          <w:tcPr>
            <w:tcW w:w="880" w:type="dxa"/>
            <w:gridSpan w:val="2"/>
            <w:vAlign w:val="center"/>
          </w:tcPr>
          <w:p>
            <w:pPr>
              <w:spacing w:line="288" w:lineRule="auto"/>
              <w:jc w:val="center"/>
              <w:rPr>
                <w:rFonts w:asciiTheme="minorEastAsia" w:hAnsiTheme="minorEastAsia" w:eastAsiaTheme="minorEastAsia" w:cstheme="minorEastAsia"/>
                <w:b/>
                <w:color w:val="auto"/>
                <w:szCs w:val="21"/>
              </w:rPr>
            </w:pPr>
          </w:p>
        </w:tc>
        <w:tc>
          <w:tcPr>
            <w:tcW w:w="757" w:type="dxa"/>
            <w:vAlign w:val="center"/>
          </w:tcPr>
          <w:p>
            <w:pPr>
              <w:spacing w:line="288" w:lineRule="auto"/>
              <w:jc w:val="center"/>
              <w:rPr>
                <w:rFonts w:asciiTheme="minorEastAsia" w:hAnsiTheme="minorEastAsia" w:eastAsiaTheme="minorEastAsia" w:cstheme="minorEastAsia"/>
                <w:b/>
                <w:color w:val="auto"/>
                <w:szCs w:val="21"/>
              </w:rPr>
            </w:pPr>
          </w:p>
        </w:tc>
        <w:tc>
          <w:tcPr>
            <w:tcW w:w="1598" w:type="dxa"/>
            <w:vAlign w:val="center"/>
          </w:tcPr>
          <w:p>
            <w:pPr>
              <w:spacing w:line="288" w:lineRule="auto"/>
              <w:jc w:val="center"/>
              <w:rPr>
                <w:rFonts w:asciiTheme="minorEastAsia" w:hAnsiTheme="minorEastAsia" w:eastAsiaTheme="minorEastAsia" w:cstheme="minorEastAsia"/>
                <w:b/>
                <w:color w:val="auto"/>
                <w:szCs w:val="21"/>
              </w:rPr>
            </w:pPr>
          </w:p>
        </w:tc>
        <w:tc>
          <w:tcPr>
            <w:tcW w:w="1237" w:type="dxa"/>
            <w:vAlign w:val="center"/>
          </w:tcPr>
          <w:p>
            <w:pPr>
              <w:spacing w:line="288" w:lineRule="auto"/>
              <w:jc w:val="center"/>
              <w:rPr>
                <w:rFonts w:asciiTheme="minorEastAsia" w:hAnsiTheme="minorEastAsia" w:eastAsiaTheme="minorEastAsia" w:cstheme="minorEastAsia"/>
                <w:b/>
                <w:color w:val="auto"/>
                <w:szCs w:val="21"/>
              </w:rPr>
            </w:pPr>
          </w:p>
        </w:tc>
        <w:tc>
          <w:tcPr>
            <w:tcW w:w="1238" w:type="dxa"/>
            <w:vAlign w:val="center"/>
          </w:tcPr>
          <w:p>
            <w:pPr>
              <w:spacing w:line="288" w:lineRule="auto"/>
              <w:jc w:val="center"/>
              <w:rPr>
                <w:rFonts w:asciiTheme="minorEastAsia" w:hAnsiTheme="minorEastAsia" w:eastAsiaTheme="minorEastAsia" w:cstheme="minorEastAsia"/>
                <w:b/>
                <w:color w:val="auto"/>
                <w:szCs w:val="21"/>
              </w:rPr>
            </w:pPr>
          </w:p>
        </w:tc>
        <w:tc>
          <w:tcPr>
            <w:tcW w:w="1238" w:type="dxa"/>
            <w:vAlign w:val="center"/>
          </w:tcPr>
          <w:p>
            <w:pPr>
              <w:spacing w:line="288" w:lineRule="auto"/>
              <w:jc w:val="center"/>
              <w:rPr>
                <w:rFonts w:asciiTheme="minorEastAsia" w:hAnsiTheme="minorEastAsia" w:eastAsiaTheme="minorEastAsia" w:cstheme="minorEastAsia"/>
                <w:b/>
                <w:color w:val="auto"/>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636" w:type="dxa"/>
            <w:vAlign w:val="center"/>
          </w:tcPr>
          <w:p>
            <w:pPr>
              <w:spacing w:line="288"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1590" w:type="dxa"/>
            <w:vAlign w:val="center"/>
          </w:tcPr>
          <w:p>
            <w:pPr>
              <w:spacing w:line="288" w:lineRule="auto"/>
              <w:rPr>
                <w:rFonts w:asciiTheme="minorEastAsia" w:hAnsiTheme="minorEastAsia" w:eastAsiaTheme="minorEastAsia" w:cstheme="minorEastAsia"/>
                <w:color w:val="auto"/>
                <w:szCs w:val="21"/>
              </w:rPr>
            </w:pPr>
          </w:p>
        </w:tc>
        <w:tc>
          <w:tcPr>
            <w:tcW w:w="880" w:type="dxa"/>
            <w:gridSpan w:val="2"/>
            <w:vAlign w:val="center"/>
          </w:tcPr>
          <w:p>
            <w:pPr>
              <w:spacing w:line="288" w:lineRule="auto"/>
              <w:jc w:val="center"/>
              <w:rPr>
                <w:rFonts w:asciiTheme="minorEastAsia" w:hAnsiTheme="minorEastAsia" w:eastAsiaTheme="minorEastAsia" w:cstheme="minorEastAsia"/>
                <w:b/>
                <w:color w:val="auto"/>
                <w:szCs w:val="21"/>
              </w:rPr>
            </w:pPr>
          </w:p>
        </w:tc>
        <w:tc>
          <w:tcPr>
            <w:tcW w:w="757" w:type="dxa"/>
            <w:vAlign w:val="center"/>
          </w:tcPr>
          <w:p>
            <w:pPr>
              <w:spacing w:line="288" w:lineRule="auto"/>
              <w:jc w:val="center"/>
              <w:rPr>
                <w:rFonts w:asciiTheme="minorEastAsia" w:hAnsiTheme="minorEastAsia" w:eastAsiaTheme="minorEastAsia" w:cstheme="minorEastAsia"/>
                <w:b/>
                <w:color w:val="auto"/>
                <w:szCs w:val="21"/>
              </w:rPr>
            </w:pPr>
          </w:p>
        </w:tc>
        <w:tc>
          <w:tcPr>
            <w:tcW w:w="1598" w:type="dxa"/>
            <w:vAlign w:val="center"/>
          </w:tcPr>
          <w:p>
            <w:pPr>
              <w:spacing w:line="288" w:lineRule="auto"/>
              <w:jc w:val="center"/>
              <w:rPr>
                <w:rFonts w:asciiTheme="minorEastAsia" w:hAnsiTheme="minorEastAsia" w:eastAsiaTheme="minorEastAsia" w:cstheme="minorEastAsia"/>
                <w:b/>
                <w:color w:val="auto"/>
                <w:szCs w:val="21"/>
              </w:rPr>
            </w:pPr>
          </w:p>
        </w:tc>
        <w:tc>
          <w:tcPr>
            <w:tcW w:w="1237" w:type="dxa"/>
            <w:vAlign w:val="center"/>
          </w:tcPr>
          <w:p>
            <w:pPr>
              <w:spacing w:line="288" w:lineRule="auto"/>
              <w:jc w:val="center"/>
              <w:rPr>
                <w:rFonts w:asciiTheme="minorEastAsia" w:hAnsiTheme="minorEastAsia" w:eastAsiaTheme="minorEastAsia" w:cstheme="minorEastAsia"/>
                <w:b/>
                <w:color w:val="auto"/>
                <w:szCs w:val="21"/>
              </w:rPr>
            </w:pPr>
          </w:p>
        </w:tc>
        <w:tc>
          <w:tcPr>
            <w:tcW w:w="1238" w:type="dxa"/>
            <w:vAlign w:val="center"/>
          </w:tcPr>
          <w:p>
            <w:pPr>
              <w:spacing w:line="288" w:lineRule="auto"/>
              <w:jc w:val="center"/>
              <w:rPr>
                <w:rFonts w:asciiTheme="minorEastAsia" w:hAnsiTheme="minorEastAsia" w:eastAsiaTheme="minorEastAsia" w:cstheme="minorEastAsia"/>
                <w:b/>
                <w:color w:val="auto"/>
                <w:szCs w:val="21"/>
              </w:rPr>
            </w:pPr>
          </w:p>
        </w:tc>
        <w:tc>
          <w:tcPr>
            <w:tcW w:w="1238" w:type="dxa"/>
            <w:vAlign w:val="center"/>
          </w:tcPr>
          <w:p>
            <w:pPr>
              <w:spacing w:line="288" w:lineRule="auto"/>
              <w:jc w:val="center"/>
              <w:rPr>
                <w:rFonts w:asciiTheme="minorEastAsia" w:hAnsiTheme="minorEastAsia" w:eastAsiaTheme="minorEastAsia" w:cstheme="minorEastAsia"/>
                <w:b/>
                <w:color w:val="auto"/>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16" w:hRule="exact"/>
          <w:jc w:val="center"/>
        </w:trPr>
        <w:tc>
          <w:tcPr>
            <w:tcW w:w="636" w:type="dxa"/>
            <w:vAlign w:val="center"/>
          </w:tcPr>
          <w:p>
            <w:pPr>
              <w:spacing w:line="288"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p>
        </w:tc>
        <w:tc>
          <w:tcPr>
            <w:tcW w:w="1590" w:type="dxa"/>
            <w:vAlign w:val="center"/>
          </w:tcPr>
          <w:p>
            <w:pPr>
              <w:spacing w:line="288" w:lineRule="auto"/>
              <w:rPr>
                <w:rFonts w:asciiTheme="minorEastAsia" w:hAnsiTheme="minorEastAsia" w:eastAsiaTheme="minorEastAsia" w:cstheme="minorEastAsia"/>
                <w:color w:val="auto"/>
                <w:szCs w:val="21"/>
              </w:rPr>
            </w:pPr>
          </w:p>
        </w:tc>
        <w:tc>
          <w:tcPr>
            <w:tcW w:w="880" w:type="dxa"/>
            <w:gridSpan w:val="2"/>
            <w:vAlign w:val="center"/>
          </w:tcPr>
          <w:p>
            <w:pPr>
              <w:spacing w:line="288" w:lineRule="auto"/>
              <w:jc w:val="center"/>
              <w:rPr>
                <w:rFonts w:asciiTheme="minorEastAsia" w:hAnsiTheme="minorEastAsia" w:eastAsiaTheme="minorEastAsia" w:cstheme="minorEastAsia"/>
                <w:b/>
                <w:color w:val="auto"/>
                <w:szCs w:val="21"/>
              </w:rPr>
            </w:pPr>
          </w:p>
        </w:tc>
        <w:tc>
          <w:tcPr>
            <w:tcW w:w="757" w:type="dxa"/>
            <w:vAlign w:val="center"/>
          </w:tcPr>
          <w:p>
            <w:pPr>
              <w:spacing w:line="288" w:lineRule="auto"/>
              <w:jc w:val="center"/>
              <w:rPr>
                <w:rFonts w:asciiTheme="minorEastAsia" w:hAnsiTheme="minorEastAsia" w:eastAsiaTheme="minorEastAsia" w:cstheme="minorEastAsia"/>
                <w:b/>
                <w:color w:val="auto"/>
                <w:szCs w:val="21"/>
              </w:rPr>
            </w:pPr>
          </w:p>
        </w:tc>
        <w:tc>
          <w:tcPr>
            <w:tcW w:w="1598" w:type="dxa"/>
            <w:vAlign w:val="center"/>
          </w:tcPr>
          <w:p>
            <w:pPr>
              <w:spacing w:line="288" w:lineRule="auto"/>
              <w:jc w:val="center"/>
              <w:rPr>
                <w:rFonts w:asciiTheme="minorEastAsia" w:hAnsiTheme="minorEastAsia" w:eastAsiaTheme="minorEastAsia" w:cstheme="minorEastAsia"/>
                <w:b/>
                <w:color w:val="auto"/>
                <w:szCs w:val="21"/>
              </w:rPr>
            </w:pPr>
          </w:p>
        </w:tc>
        <w:tc>
          <w:tcPr>
            <w:tcW w:w="1237" w:type="dxa"/>
            <w:vAlign w:val="center"/>
          </w:tcPr>
          <w:p>
            <w:pPr>
              <w:spacing w:line="288" w:lineRule="auto"/>
              <w:jc w:val="center"/>
              <w:rPr>
                <w:rFonts w:asciiTheme="minorEastAsia" w:hAnsiTheme="minorEastAsia" w:eastAsiaTheme="minorEastAsia" w:cstheme="minorEastAsia"/>
                <w:b/>
                <w:color w:val="auto"/>
                <w:szCs w:val="21"/>
              </w:rPr>
            </w:pPr>
          </w:p>
        </w:tc>
        <w:tc>
          <w:tcPr>
            <w:tcW w:w="1238" w:type="dxa"/>
            <w:vAlign w:val="center"/>
          </w:tcPr>
          <w:p>
            <w:pPr>
              <w:spacing w:line="288" w:lineRule="auto"/>
              <w:jc w:val="center"/>
              <w:rPr>
                <w:rFonts w:asciiTheme="minorEastAsia" w:hAnsiTheme="minorEastAsia" w:eastAsiaTheme="minorEastAsia" w:cstheme="minorEastAsia"/>
                <w:b/>
                <w:color w:val="auto"/>
                <w:szCs w:val="21"/>
              </w:rPr>
            </w:pPr>
          </w:p>
        </w:tc>
        <w:tc>
          <w:tcPr>
            <w:tcW w:w="1238" w:type="dxa"/>
            <w:vAlign w:val="center"/>
          </w:tcPr>
          <w:p>
            <w:pPr>
              <w:spacing w:line="288" w:lineRule="auto"/>
              <w:jc w:val="center"/>
              <w:rPr>
                <w:rFonts w:asciiTheme="minorEastAsia" w:hAnsiTheme="minorEastAsia" w:eastAsiaTheme="minorEastAsia" w:cstheme="minorEastAsia"/>
                <w:b/>
                <w:color w:val="auto"/>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jc w:val="center"/>
        </w:trPr>
        <w:tc>
          <w:tcPr>
            <w:tcW w:w="636" w:type="dxa"/>
            <w:vAlign w:val="center"/>
          </w:tcPr>
          <w:p>
            <w:pPr>
              <w:spacing w:line="288"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590" w:type="dxa"/>
            <w:vAlign w:val="center"/>
          </w:tcPr>
          <w:p>
            <w:pPr>
              <w:spacing w:line="288"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880" w:type="dxa"/>
            <w:gridSpan w:val="2"/>
            <w:vAlign w:val="center"/>
          </w:tcPr>
          <w:p>
            <w:pPr>
              <w:spacing w:line="288" w:lineRule="auto"/>
              <w:jc w:val="center"/>
              <w:rPr>
                <w:rFonts w:asciiTheme="minorEastAsia" w:hAnsiTheme="minorEastAsia" w:eastAsiaTheme="minorEastAsia" w:cstheme="minorEastAsia"/>
                <w:b/>
                <w:color w:val="auto"/>
                <w:szCs w:val="21"/>
              </w:rPr>
            </w:pPr>
          </w:p>
        </w:tc>
        <w:tc>
          <w:tcPr>
            <w:tcW w:w="757" w:type="dxa"/>
            <w:vAlign w:val="center"/>
          </w:tcPr>
          <w:p>
            <w:pPr>
              <w:spacing w:line="288" w:lineRule="auto"/>
              <w:jc w:val="center"/>
              <w:rPr>
                <w:rFonts w:asciiTheme="minorEastAsia" w:hAnsiTheme="minorEastAsia" w:eastAsiaTheme="minorEastAsia" w:cstheme="minorEastAsia"/>
                <w:b/>
                <w:color w:val="auto"/>
                <w:szCs w:val="21"/>
              </w:rPr>
            </w:pPr>
          </w:p>
        </w:tc>
        <w:tc>
          <w:tcPr>
            <w:tcW w:w="1598" w:type="dxa"/>
            <w:vAlign w:val="center"/>
          </w:tcPr>
          <w:p>
            <w:pPr>
              <w:spacing w:line="288" w:lineRule="auto"/>
              <w:jc w:val="center"/>
              <w:rPr>
                <w:rFonts w:asciiTheme="minorEastAsia" w:hAnsiTheme="minorEastAsia" w:eastAsiaTheme="minorEastAsia" w:cstheme="minorEastAsia"/>
                <w:b/>
                <w:color w:val="auto"/>
                <w:szCs w:val="21"/>
              </w:rPr>
            </w:pPr>
          </w:p>
        </w:tc>
        <w:tc>
          <w:tcPr>
            <w:tcW w:w="1237" w:type="dxa"/>
            <w:vAlign w:val="center"/>
          </w:tcPr>
          <w:p>
            <w:pPr>
              <w:spacing w:line="288" w:lineRule="auto"/>
              <w:jc w:val="center"/>
              <w:rPr>
                <w:rFonts w:asciiTheme="minorEastAsia" w:hAnsiTheme="minorEastAsia" w:eastAsiaTheme="minorEastAsia" w:cstheme="minorEastAsia"/>
                <w:b/>
                <w:color w:val="auto"/>
                <w:szCs w:val="21"/>
              </w:rPr>
            </w:pPr>
          </w:p>
        </w:tc>
        <w:tc>
          <w:tcPr>
            <w:tcW w:w="1238" w:type="dxa"/>
            <w:vAlign w:val="center"/>
          </w:tcPr>
          <w:p>
            <w:pPr>
              <w:spacing w:line="288" w:lineRule="auto"/>
              <w:jc w:val="center"/>
              <w:rPr>
                <w:rFonts w:asciiTheme="minorEastAsia" w:hAnsiTheme="minorEastAsia" w:eastAsiaTheme="minorEastAsia" w:cstheme="minorEastAsia"/>
                <w:b/>
                <w:color w:val="auto"/>
                <w:szCs w:val="21"/>
              </w:rPr>
            </w:pPr>
          </w:p>
        </w:tc>
        <w:tc>
          <w:tcPr>
            <w:tcW w:w="1238" w:type="dxa"/>
            <w:vAlign w:val="center"/>
          </w:tcPr>
          <w:p>
            <w:pPr>
              <w:spacing w:line="288" w:lineRule="auto"/>
              <w:jc w:val="center"/>
              <w:rPr>
                <w:rFonts w:asciiTheme="minorEastAsia" w:hAnsiTheme="minorEastAsia" w:eastAsiaTheme="minorEastAsia" w:cstheme="minorEastAsia"/>
                <w:b/>
                <w:color w:val="auto"/>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73" w:hRule="exact"/>
          <w:jc w:val="center"/>
        </w:trPr>
        <w:tc>
          <w:tcPr>
            <w:tcW w:w="2226" w:type="dxa"/>
            <w:gridSpan w:val="2"/>
            <w:vAlign w:val="center"/>
          </w:tcPr>
          <w:p>
            <w:pPr>
              <w:spacing w:line="288"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管理费</w:t>
            </w:r>
          </w:p>
        </w:tc>
        <w:tc>
          <w:tcPr>
            <w:tcW w:w="6948" w:type="dxa"/>
            <w:gridSpan w:val="7"/>
            <w:vAlign w:val="center"/>
          </w:tcPr>
          <w:p>
            <w:pPr>
              <w:spacing w:line="288" w:lineRule="auto"/>
              <w:jc w:val="center"/>
              <w:rPr>
                <w:rFonts w:asciiTheme="minorEastAsia" w:hAnsiTheme="minorEastAsia" w:eastAsiaTheme="minorEastAsia" w:cstheme="minorEastAsia"/>
                <w:b/>
                <w:color w:val="auto"/>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73" w:hRule="exact"/>
          <w:jc w:val="center"/>
        </w:trPr>
        <w:tc>
          <w:tcPr>
            <w:tcW w:w="2226" w:type="dxa"/>
            <w:gridSpan w:val="2"/>
            <w:vAlign w:val="center"/>
          </w:tcPr>
          <w:p>
            <w:pPr>
              <w:spacing w:line="288"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利润</w:t>
            </w:r>
          </w:p>
        </w:tc>
        <w:tc>
          <w:tcPr>
            <w:tcW w:w="6948" w:type="dxa"/>
            <w:gridSpan w:val="7"/>
            <w:vAlign w:val="center"/>
          </w:tcPr>
          <w:p>
            <w:pPr>
              <w:spacing w:line="288" w:lineRule="auto"/>
              <w:jc w:val="center"/>
              <w:rPr>
                <w:rFonts w:asciiTheme="minorEastAsia" w:hAnsiTheme="minorEastAsia" w:eastAsiaTheme="minorEastAsia" w:cstheme="minorEastAsia"/>
                <w:b/>
                <w:color w:val="auto"/>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73" w:hRule="exact"/>
          <w:jc w:val="center"/>
        </w:trPr>
        <w:tc>
          <w:tcPr>
            <w:tcW w:w="2226" w:type="dxa"/>
            <w:gridSpan w:val="2"/>
            <w:vAlign w:val="center"/>
          </w:tcPr>
          <w:p>
            <w:pPr>
              <w:spacing w:line="288"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税金（含附加）</w:t>
            </w:r>
          </w:p>
        </w:tc>
        <w:tc>
          <w:tcPr>
            <w:tcW w:w="6948" w:type="dxa"/>
            <w:gridSpan w:val="7"/>
            <w:vAlign w:val="center"/>
          </w:tcPr>
          <w:p>
            <w:pPr>
              <w:spacing w:line="288" w:lineRule="auto"/>
              <w:jc w:val="center"/>
              <w:rPr>
                <w:rFonts w:asciiTheme="minorEastAsia" w:hAnsiTheme="minorEastAsia" w:eastAsiaTheme="minorEastAsia" w:cstheme="minorEastAsia"/>
                <w:b/>
                <w:color w:val="auto"/>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73" w:hRule="exact"/>
          <w:jc w:val="center"/>
        </w:trPr>
        <w:tc>
          <w:tcPr>
            <w:tcW w:w="2226" w:type="dxa"/>
            <w:gridSpan w:val="2"/>
            <w:vAlign w:val="center"/>
          </w:tcPr>
          <w:p>
            <w:pPr>
              <w:spacing w:line="288"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其他</w:t>
            </w:r>
          </w:p>
        </w:tc>
        <w:tc>
          <w:tcPr>
            <w:tcW w:w="6948" w:type="dxa"/>
            <w:gridSpan w:val="7"/>
            <w:vAlign w:val="center"/>
          </w:tcPr>
          <w:p>
            <w:pPr>
              <w:spacing w:line="288" w:lineRule="auto"/>
              <w:jc w:val="center"/>
              <w:rPr>
                <w:rFonts w:asciiTheme="minorEastAsia" w:hAnsiTheme="minorEastAsia" w:eastAsiaTheme="minorEastAsia" w:cstheme="minorEastAsia"/>
                <w:b/>
                <w:color w:val="auto"/>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61" w:hRule="exact"/>
          <w:jc w:val="center"/>
        </w:trPr>
        <w:tc>
          <w:tcPr>
            <w:tcW w:w="2226" w:type="dxa"/>
            <w:gridSpan w:val="2"/>
            <w:vAlign w:val="center"/>
          </w:tcPr>
          <w:p>
            <w:pPr>
              <w:spacing w:line="288"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合价（出厂价）</w:t>
            </w:r>
          </w:p>
        </w:tc>
        <w:tc>
          <w:tcPr>
            <w:tcW w:w="6948" w:type="dxa"/>
            <w:gridSpan w:val="7"/>
            <w:vAlign w:val="center"/>
          </w:tcPr>
          <w:p>
            <w:pPr>
              <w:spacing w:line="288" w:lineRule="auto"/>
              <w:jc w:val="center"/>
              <w:rPr>
                <w:rFonts w:asciiTheme="minorEastAsia" w:hAnsiTheme="minorEastAsia" w:eastAsiaTheme="minorEastAsia" w:cstheme="minorEastAsia"/>
                <w:b/>
                <w:color w:val="auto"/>
                <w:szCs w:val="21"/>
              </w:rPr>
            </w:pPr>
          </w:p>
        </w:tc>
      </w:tr>
    </w:tbl>
    <w:p>
      <w:pPr>
        <w:spacing w:before="120" w:beforeLines="50" w:line="288" w:lineRule="auto"/>
        <w:ind w:left="-84" w:leftChars="-4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供应商名称（公章）：</w:t>
      </w:r>
    </w:p>
    <w:p>
      <w:pPr>
        <w:spacing w:before="120" w:beforeLines="50" w:line="288" w:lineRule="auto"/>
        <w:ind w:left="-84" w:leftChars="-4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法定代表人或其委托代理人（签字或加盖人名章）：</w:t>
      </w:r>
    </w:p>
    <w:p>
      <w:pPr>
        <w:spacing w:before="120" w:beforeLines="50" w:line="288" w:lineRule="auto"/>
        <w:ind w:left="-84" w:leftChars="-4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日期：</w:t>
      </w:r>
    </w:p>
    <w:p>
      <w:pPr>
        <w:spacing w:before="120" w:beforeLines="50" w:line="288" w:lineRule="auto"/>
        <w:ind w:left="-84" w:leftChars="-40"/>
        <w:rPr>
          <w:rFonts w:asciiTheme="minorEastAsia" w:hAnsiTheme="minorEastAsia" w:eastAsiaTheme="minorEastAsia" w:cstheme="minorEastAsia"/>
          <w:color w:val="auto"/>
          <w:szCs w:val="21"/>
        </w:rPr>
      </w:pPr>
    </w:p>
    <w:p>
      <w:pPr>
        <w:spacing w:line="288"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注：1、</w:t>
      </w:r>
      <w:r>
        <w:rPr>
          <w:rFonts w:hint="eastAsia" w:asciiTheme="minorEastAsia" w:hAnsiTheme="minorEastAsia" w:eastAsiaTheme="minorEastAsia" w:cstheme="minorEastAsia"/>
          <w:color w:val="auto"/>
          <w:szCs w:val="21"/>
        </w:rPr>
        <w:t>详细注明型号。</w:t>
      </w:r>
    </w:p>
    <w:p>
      <w:pPr>
        <w:spacing w:line="288" w:lineRule="auto"/>
        <w:ind w:left="424" w:leftChars="202"/>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2、本表按所投产品进行单台分别报价。</w:t>
      </w:r>
    </w:p>
    <w:p>
      <w:pPr>
        <w:spacing w:line="360" w:lineRule="auto"/>
        <w:rPr>
          <w:rFonts w:ascii="宋体" w:hAnsi="宋体" w:cs="宋体"/>
          <w:bCs/>
          <w:color w:val="auto"/>
          <w:szCs w:val="21"/>
        </w:rPr>
      </w:pPr>
    </w:p>
    <w:p>
      <w:pPr>
        <w:spacing w:line="360" w:lineRule="auto"/>
        <w:rPr>
          <w:rFonts w:ascii="宋体" w:hAnsi="宋体" w:cs="宋体"/>
          <w:color w:val="auto"/>
          <w:sz w:val="24"/>
        </w:rPr>
      </w:pPr>
      <w:bookmarkStart w:id="228" w:name="_Toc410631176"/>
      <w:r>
        <w:rPr>
          <w:rFonts w:hint="eastAsia" w:ascii="宋体" w:hAnsi="宋体" w:cs="宋体"/>
          <w:b/>
          <w:color w:val="auto"/>
          <w:sz w:val="24"/>
        </w:rPr>
        <w:br w:type="page"/>
      </w:r>
      <w:bookmarkEnd w:id="228"/>
    </w:p>
    <w:p>
      <w:pPr>
        <w:pStyle w:val="281"/>
        <w:numPr>
          <w:ilvl w:val="0"/>
          <w:numId w:val="16"/>
        </w:numPr>
        <w:spacing w:line="360" w:lineRule="auto"/>
        <w:ind w:firstLineChars="0"/>
        <w:outlineLvl w:val="1"/>
        <w:rPr>
          <w:rFonts w:ascii="宋体" w:hAnsi="宋体" w:cs="宋体"/>
          <w:b/>
          <w:color w:val="auto"/>
          <w:sz w:val="24"/>
        </w:rPr>
      </w:pPr>
      <w:bookmarkStart w:id="229" w:name="_Toc4433591"/>
      <w:bookmarkStart w:id="230" w:name="_Toc22749"/>
      <w:bookmarkStart w:id="231" w:name="_Toc3220212"/>
      <w:r>
        <w:rPr>
          <w:rFonts w:hint="eastAsia" w:ascii="宋体" w:hAnsi="宋体" w:cs="宋体"/>
          <w:b/>
          <w:color w:val="auto"/>
          <w:sz w:val="24"/>
        </w:rPr>
        <w:t>商务、合同条款偏差表</w:t>
      </w:r>
      <w:bookmarkEnd w:id="229"/>
      <w:bookmarkEnd w:id="230"/>
      <w:bookmarkEnd w:id="231"/>
    </w:p>
    <w:p>
      <w:pPr>
        <w:spacing w:after="240" w:line="400" w:lineRule="exact"/>
        <w:ind w:hanging="119"/>
        <w:jc w:val="center"/>
        <w:rPr>
          <w:rFonts w:ascii="宋体" w:hAnsi="宋体" w:cs="宋体"/>
          <w:color w:val="auto"/>
          <w:szCs w:val="21"/>
          <w:u w:val="single"/>
        </w:rPr>
      </w:pPr>
      <w:r>
        <w:rPr>
          <w:rFonts w:hint="eastAsia" w:ascii="宋体" w:hAnsi="宋体" w:cs="宋体"/>
          <w:b/>
          <w:color w:val="auto"/>
          <w:szCs w:val="21"/>
        </w:rPr>
        <w:t>商务、合同条款偏差表</w:t>
      </w:r>
    </w:p>
    <w:tbl>
      <w:tblPr>
        <w:tblStyle w:val="74"/>
        <w:tblW w:w="90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93"/>
        <w:gridCol w:w="3623"/>
        <w:gridCol w:w="1134"/>
        <w:gridCol w:w="851"/>
        <w:gridCol w:w="1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jc w:val="center"/>
        </w:trPr>
        <w:tc>
          <w:tcPr>
            <w:tcW w:w="2093"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宋体" w:hAnsi="宋体" w:cs="宋体"/>
                <w:color w:val="auto"/>
                <w:szCs w:val="21"/>
              </w:rPr>
            </w:pPr>
            <w:r>
              <w:rPr>
                <w:rFonts w:hint="eastAsia" w:ascii="宋体" w:hAnsi="宋体" w:cs="宋体"/>
                <w:color w:val="auto"/>
                <w:szCs w:val="21"/>
              </w:rPr>
              <w:t>磋商文件条目号</w:t>
            </w:r>
          </w:p>
        </w:tc>
        <w:tc>
          <w:tcPr>
            <w:tcW w:w="3623"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宋体" w:hAnsi="宋体" w:cs="宋体"/>
                <w:color w:val="auto"/>
                <w:szCs w:val="21"/>
              </w:rPr>
            </w:pPr>
            <w:r>
              <w:rPr>
                <w:rFonts w:hint="eastAsia" w:ascii="宋体" w:hAnsi="宋体" w:cs="宋体"/>
                <w:color w:val="auto"/>
                <w:szCs w:val="21"/>
              </w:rPr>
              <w:t>磋商文件的商务、合同条款</w:t>
            </w:r>
          </w:p>
        </w:tc>
        <w:tc>
          <w:tcPr>
            <w:tcW w:w="1134"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宋体" w:hAnsi="宋体" w:cs="宋体"/>
                <w:color w:val="auto"/>
                <w:szCs w:val="21"/>
              </w:rPr>
            </w:pPr>
            <w:r>
              <w:rPr>
                <w:rFonts w:hint="eastAsia" w:ascii="宋体" w:hAnsi="宋体" w:cs="宋体"/>
                <w:color w:val="auto"/>
                <w:szCs w:val="21"/>
              </w:rPr>
              <w:t>完全响应</w:t>
            </w:r>
          </w:p>
        </w:tc>
        <w:tc>
          <w:tcPr>
            <w:tcW w:w="851"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宋体" w:hAnsi="宋体" w:cs="宋体"/>
                <w:color w:val="auto"/>
                <w:szCs w:val="21"/>
              </w:rPr>
            </w:pPr>
            <w:r>
              <w:rPr>
                <w:rFonts w:hint="eastAsia" w:ascii="宋体" w:hAnsi="宋体" w:cs="宋体"/>
                <w:color w:val="auto"/>
                <w:szCs w:val="21"/>
              </w:rPr>
              <w:t>有偏离</w:t>
            </w:r>
          </w:p>
        </w:tc>
        <w:tc>
          <w:tcPr>
            <w:tcW w:w="1310"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宋体" w:hAnsi="宋体" w:cs="宋体"/>
                <w:color w:val="auto"/>
                <w:szCs w:val="21"/>
              </w:rPr>
            </w:pPr>
            <w:r>
              <w:rPr>
                <w:rFonts w:hint="eastAsia" w:ascii="宋体" w:hAnsi="宋体" w:cs="宋体"/>
                <w:color w:val="auto"/>
                <w:szCs w:val="21"/>
              </w:rPr>
              <w:t>偏离简述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2093"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c>
          <w:tcPr>
            <w:tcW w:w="3623"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c>
          <w:tcPr>
            <w:tcW w:w="1134"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c>
          <w:tcPr>
            <w:tcW w:w="851"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c>
          <w:tcPr>
            <w:tcW w:w="1310"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c>
          <w:tcPr>
            <w:tcW w:w="3623"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c>
          <w:tcPr>
            <w:tcW w:w="1134"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c>
          <w:tcPr>
            <w:tcW w:w="851"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c>
          <w:tcPr>
            <w:tcW w:w="1310"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c>
          <w:tcPr>
            <w:tcW w:w="3623"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c>
          <w:tcPr>
            <w:tcW w:w="1134"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c>
          <w:tcPr>
            <w:tcW w:w="851"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c>
          <w:tcPr>
            <w:tcW w:w="1310"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tcBorders>
              <w:top w:val="single" w:color="000000" w:sz="6" w:space="0"/>
              <w:left w:val="single" w:color="000000" w:sz="6" w:space="0"/>
              <w:bottom w:val="single" w:color="000000" w:sz="6" w:space="0"/>
              <w:right w:val="single" w:color="000000" w:sz="6" w:space="0"/>
            </w:tcBorders>
            <w:vAlign w:val="center"/>
          </w:tcPr>
          <w:p>
            <w:pPr>
              <w:spacing w:line="400" w:lineRule="exact"/>
              <w:rPr>
                <w:rFonts w:ascii="宋体" w:hAnsi="宋体" w:cs="宋体"/>
                <w:color w:val="auto"/>
                <w:szCs w:val="21"/>
              </w:rPr>
            </w:pPr>
          </w:p>
        </w:tc>
        <w:tc>
          <w:tcPr>
            <w:tcW w:w="3623" w:type="dxa"/>
            <w:tcBorders>
              <w:top w:val="single" w:color="000000" w:sz="6" w:space="0"/>
              <w:left w:val="single" w:color="000000" w:sz="6" w:space="0"/>
              <w:bottom w:val="single" w:color="000000" w:sz="6" w:space="0"/>
              <w:right w:val="single" w:color="000000" w:sz="6" w:space="0"/>
            </w:tcBorders>
            <w:vAlign w:val="center"/>
          </w:tcPr>
          <w:p>
            <w:pPr>
              <w:spacing w:line="400" w:lineRule="exact"/>
              <w:rPr>
                <w:rFonts w:ascii="宋体" w:hAnsi="宋体" w:cs="宋体"/>
                <w:color w:val="auto"/>
                <w:szCs w:val="21"/>
              </w:rPr>
            </w:pPr>
          </w:p>
        </w:tc>
        <w:tc>
          <w:tcPr>
            <w:tcW w:w="1134"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c>
          <w:tcPr>
            <w:tcW w:w="851"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c>
          <w:tcPr>
            <w:tcW w:w="1310"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tcBorders>
              <w:top w:val="single" w:color="000000" w:sz="6" w:space="0"/>
              <w:left w:val="single" w:color="000000" w:sz="6" w:space="0"/>
              <w:bottom w:val="single" w:color="000000" w:sz="6" w:space="0"/>
              <w:right w:val="single" w:color="000000" w:sz="6" w:space="0"/>
            </w:tcBorders>
            <w:vAlign w:val="center"/>
          </w:tcPr>
          <w:p>
            <w:pPr>
              <w:spacing w:line="400" w:lineRule="exact"/>
              <w:rPr>
                <w:rFonts w:ascii="宋体" w:hAnsi="宋体" w:cs="宋体"/>
                <w:color w:val="auto"/>
                <w:szCs w:val="21"/>
              </w:rPr>
            </w:pPr>
          </w:p>
        </w:tc>
        <w:tc>
          <w:tcPr>
            <w:tcW w:w="3623" w:type="dxa"/>
            <w:tcBorders>
              <w:top w:val="single" w:color="000000" w:sz="6" w:space="0"/>
              <w:left w:val="single" w:color="000000" w:sz="6" w:space="0"/>
              <w:bottom w:val="single" w:color="000000" w:sz="6" w:space="0"/>
              <w:right w:val="single" w:color="000000" w:sz="6" w:space="0"/>
            </w:tcBorders>
            <w:vAlign w:val="center"/>
          </w:tcPr>
          <w:p>
            <w:pPr>
              <w:spacing w:line="400" w:lineRule="exact"/>
              <w:rPr>
                <w:rFonts w:ascii="宋体" w:hAnsi="宋体" w:cs="宋体"/>
                <w:color w:val="auto"/>
                <w:szCs w:val="21"/>
              </w:rPr>
            </w:pPr>
          </w:p>
        </w:tc>
        <w:tc>
          <w:tcPr>
            <w:tcW w:w="1134"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c>
          <w:tcPr>
            <w:tcW w:w="851"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c>
          <w:tcPr>
            <w:tcW w:w="1310"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tcBorders>
              <w:top w:val="single" w:color="000000" w:sz="6" w:space="0"/>
              <w:left w:val="single" w:color="000000" w:sz="6" w:space="0"/>
              <w:bottom w:val="single" w:color="000000" w:sz="6" w:space="0"/>
              <w:right w:val="single" w:color="000000" w:sz="6" w:space="0"/>
            </w:tcBorders>
            <w:vAlign w:val="center"/>
          </w:tcPr>
          <w:p>
            <w:pPr>
              <w:spacing w:line="400" w:lineRule="exact"/>
              <w:rPr>
                <w:rFonts w:ascii="宋体" w:hAnsi="宋体" w:cs="宋体"/>
                <w:color w:val="auto"/>
                <w:szCs w:val="21"/>
              </w:rPr>
            </w:pPr>
            <w:r>
              <w:rPr>
                <w:rFonts w:hint="eastAsia" w:ascii="宋体" w:hAnsi="宋体" w:cs="宋体"/>
                <w:color w:val="auto"/>
                <w:szCs w:val="21"/>
              </w:rPr>
              <w:t>……</w:t>
            </w:r>
          </w:p>
        </w:tc>
        <w:tc>
          <w:tcPr>
            <w:tcW w:w="3623" w:type="dxa"/>
            <w:tcBorders>
              <w:top w:val="single" w:color="000000" w:sz="6" w:space="0"/>
              <w:left w:val="single" w:color="000000" w:sz="6" w:space="0"/>
              <w:bottom w:val="single" w:color="000000" w:sz="6" w:space="0"/>
              <w:right w:val="single" w:color="000000" w:sz="6" w:space="0"/>
            </w:tcBorders>
            <w:vAlign w:val="center"/>
          </w:tcPr>
          <w:p>
            <w:pPr>
              <w:spacing w:line="400" w:lineRule="exact"/>
              <w:rPr>
                <w:rFonts w:ascii="宋体" w:hAnsi="宋体" w:cs="宋体"/>
                <w:color w:val="auto"/>
                <w:szCs w:val="21"/>
              </w:rPr>
            </w:pPr>
            <w:r>
              <w:rPr>
                <w:rFonts w:hint="eastAsia" w:ascii="宋体" w:hAnsi="宋体" w:cs="宋体"/>
                <w:color w:val="auto"/>
                <w:szCs w:val="21"/>
              </w:rPr>
              <w:t>……</w:t>
            </w:r>
          </w:p>
        </w:tc>
        <w:tc>
          <w:tcPr>
            <w:tcW w:w="1134"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c>
          <w:tcPr>
            <w:tcW w:w="851"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c>
          <w:tcPr>
            <w:tcW w:w="1310"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r>
    </w:tbl>
    <w:p>
      <w:pPr>
        <w:spacing w:before="120" w:beforeLines="50" w:line="400" w:lineRule="exact"/>
        <w:ind w:left="-103" w:leftChars="-49" w:firstLine="15"/>
        <w:rPr>
          <w:rFonts w:ascii="宋体" w:hAnsi="宋体" w:cs="宋体"/>
          <w:color w:val="auto"/>
          <w:szCs w:val="21"/>
        </w:rPr>
      </w:pPr>
      <w:r>
        <w:rPr>
          <w:rFonts w:hint="eastAsia" w:ascii="宋体" w:hAnsi="宋体" w:cs="宋体"/>
          <w:color w:val="auto"/>
          <w:szCs w:val="21"/>
        </w:rPr>
        <w:t>供应商：（公章）</w:t>
      </w:r>
    </w:p>
    <w:p>
      <w:pPr>
        <w:spacing w:before="120" w:beforeLines="50" w:line="400" w:lineRule="exact"/>
        <w:ind w:left="-103" w:leftChars="-49"/>
        <w:rPr>
          <w:rFonts w:ascii="宋体" w:hAnsi="宋体" w:cs="宋体"/>
          <w:color w:val="auto"/>
          <w:szCs w:val="21"/>
        </w:rPr>
      </w:pPr>
      <w:r>
        <w:rPr>
          <w:rFonts w:hint="eastAsia" w:ascii="宋体" w:hAnsi="宋体" w:cs="宋体"/>
          <w:color w:val="auto"/>
          <w:szCs w:val="21"/>
        </w:rPr>
        <w:t>法定代表人或其授权代表：（签字或加盖人名章）</w:t>
      </w:r>
    </w:p>
    <w:p>
      <w:pPr>
        <w:spacing w:before="120" w:beforeLines="50" w:line="400" w:lineRule="exact"/>
        <w:ind w:left="-103" w:leftChars="-49"/>
        <w:rPr>
          <w:rFonts w:ascii="宋体" w:hAnsi="宋体" w:cs="宋体"/>
          <w:color w:val="auto"/>
          <w:szCs w:val="21"/>
        </w:rPr>
      </w:pPr>
      <w:r>
        <w:rPr>
          <w:rFonts w:hint="eastAsia" w:ascii="宋体" w:hAnsi="宋体" w:cs="宋体"/>
          <w:color w:val="auto"/>
          <w:szCs w:val="21"/>
        </w:rPr>
        <w:t>日期：</w:t>
      </w:r>
    </w:p>
    <w:p>
      <w:pPr>
        <w:spacing w:line="400" w:lineRule="exact"/>
        <w:rPr>
          <w:rFonts w:ascii="宋体" w:hAnsi="宋体" w:cs="宋体"/>
          <w:color w:val="auto"/>
          <w:szCs w:val="21"/>
        </w:rPr>
      </w:pPr>
    </w:p>
    <w:p>
      <w:pPr>
        <w:snapToGrid w:val="0"/>
        <w:spacing w:after="120" w:afterLines="50" w:line="400" w:lineRule="exact"/>
        <w:rPr>
          <w:rFonts w:ascii="宋体" w:hAnsi="宋体" w:cs="宋体"/>
          <w:color w:val="auto"/>
          <w:szCs w:val="21"/>
        </w:rPr>
      </w:pPr>
      <w:r>
        <w:rPr>
          <w:rFonts w:hint="eastAsia" w:ascii="宋体" w:hAnsi="宋体" w:cs="宋体"/>
          <w:color w:val="auto"/>
          <w:szCs w:val="21"/>
        </w:rPr>
        <w:t>注：1、</w:t>
      </w:r>
      <w:r>
        <w:rPr>
          <w:rFonts w:hint="eastAsia" w:ascii="宋体" w:hAnsi="宋体" w:cs="宋体"/>
          <w:color w:val="auto"/>
          <w:szCs w:val="21"/>
        </w:rPr>
        <w:tab/>
      </w:r>
      <w:r>
        <w:rPr>
          <w:rFonts w:hint="eastAsia" w:ascii="宋体" w:hAnsi="宋体" w:cs="宋体"/>
          <w:color w:val="auto"/>
          <w:szCs w:val="21"/>
        </w:rPr>
        <w:t>供应商根据本磋商文件的供应商须知及合同条款填写本表；</w:t>
      </w:r>
    </w:p>
    <w:p>
      <w:pPr>
        <w:snapToGrid w:val="0"/>
        <w:spacing w:after="120" w:afterLines="50" w:line="400" w:lineRule="exact"/>
        <w:ind w:left="428" w:leftChars="202" w:hanging="4"/>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rPr>
        <w:tab/>
      </w:r>
      <w:r>
        <w:rPr>
          <w:rFonts w:hint="eastAsia" w:ascii="宋体" w:hAnsi="宋体" w:cs="宋体"/>
          <w:color w:val="auto"/>
          <w:szCs w:val="21"/>
        </w:rPr>
        <w:t>对完全响应的条目在下表相应列中标注“√”。对有偏离的条目在本表相应列中标注“正偏离”或“负偏离”。仅可在“完全响应”及“有偏离”中选一标注，同时，当且仅当选取“有偏离”栏中加以标注后，才能在“偏离简述”栏中加以说明。</w:t>
      </w:r>
    </w:p>
    <w:p>
      <w:pPr>
        <w:snapToGrid w:val="0"/>
        <w:spacing w:after="120" w:afterLines="50" w:line="400" w:lineRule="exact"/>
        <w:ind w:left="428" w:leftChars="202" w:hanging="4"/>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rPr>
        <w:tab/>
      </w:r>
      <w:r>
        <w:rPr>
          <w:rFonts w:hint="eastAsia" w:ascii="宋体" w:hAnsi="宋体" w:cs="宋体"/>
          <w:color w:val="auto"/>
          <w:szCs w:val="21"/>
        </w:rPr>
        <w:t>正偏离是指应答的条件高于磋商文件要求，负偏离是指应答的条件低于磋商文件要求，正偏离项目不作扣分处理。</w:t>
      </w:r>
    </w:p>
    <w:p>
      <w:pPr>
        <w:snapToGrid w:val="0"/>
        <w:spacing w:after="120" w:afterLines="50" w:line="400" w:lineRule="exact"/>
        <w:ind w:left="428" w:leftChars="202" w:hanging="4"/>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rPr>
        <w:tab/>
      </w:r>
      <w:r>
        <w:rPr>
          <w:rFonts w:hint="eastAsia" w:ascii="宋体" w:hAnsi="宋体" w:cs="宋体"/>
          <w:color w:val="auto"/>
          <w:szCs w:val="21"/>
        </w:rPr>
        <w:t>供应商须完整填写响应表。如果未完整填写本表的各项内容则视作供应商已经对磋商文件相关要求和内容完全理解并同意，其报价为在此基础上的完全价格。</w:t>
      </w:r>
    </w:p>
    <w:p>
      <w:pPr>
        <w:snapToGrid w:val="0"/>
        <w:spacing w:after="120" w:afterLines="50" w:line="400" w:lineRule="exact"/>
        <w:ind w:left="428" w:leftChars="202" w:hanging="4"/>
        <w:rPr>
          <w:rFonts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rPr>
        <w:tab/>
      </w:r>
      <w:r>
        <w:rPr>
          <w:rFonts w:hint="eastAsia" w:ascii="宋体" w:hAnsi="宋体" w:cs="宋体"/>
          <w:color w:val="auto"/>
          <w:szCs w:val="21"/>
        </w:rPr>
        <w:t>在采购人与成交供应商签订合同时，如成交供应商未在响应文件“响应表”中列出偏离说明，无论已发生或即将发生任何情形，均视为完全符合磋商文件要求，并写入合同。若成交供应商在合同签订前，以上述事项为借口而不履行合同签订手续及执行合同，则视作拒绝与采购人签订合同。</w:t>
      </w:r>
    </w:p>
    <w:p>
      <w:pPr>
        <w:rPr>
          <w:rFonts w:ascii="宋体" w:hAnsi="宋体" w:cs="宋体"/>
          <w:b/>
          <w:color w:val="auto"/>
          <w:sz w:val="24"/>
        </w:rPr>
      </w:pPr>
      <w:r>
        <w:rPr>
          <w:rFonts w:hint="eastAsia" w:ascii="宋体" w:hAnsi="宋体" w:cs="宋体"/>
          <w:b/>
          <w:color w:val="auto"/>
          <w:sz w:val="24"/>
        </w:rPr>
        <w:br w:type="page"/>
      </w:r>
    </w:p>
    <w:p>
      <w:pPr>
        <w:pStyle w:val="281"/>
        <w:numPr>
          <w:ilvl w:val="0"/>
          <w:numId w:val="16"/>
        </w:numPr>
        <w:spacing w:line="360" w:lineRule="auto"/>
        <w:ind w:left="1276" w:hanging="1276" w:firstLineChars="0"/>
        <w:outlineLvl w:val="1"/>
        <w:rPr>
          <w:rFonts w:ascii="宋体" w:hAnsi="宋体" w:cs="宋体"/>
          <w:b/>
          <w:color w:val="auto"/>
          <w:sz w:val="24"/>
        </w:rPr>
      </w:pPr>
      <w:bookmarkStart w:id="232" w:name="_Toc5678"/>
      <w:bookmarkStart w:id="233" w:name="_Toc4433592"/>
      <w:bookmarkStart w:id="234" w:name="_Toc3220213"/>
      <w:r>
        <w:rPr>
          <w:rFonts w:hint="eastAsia" w:ascii="宋体" w:hAnsi="宋体" w:cs="宋体"/>
          <w:b/>
          <w:color w:val="auto"/>
          <w:sz w:val="24"/>
        </w:rPr>
        <w:t>供应商基本情况表</w:t>
      </w:r>
      <w:bookmarkEnd w:id="232"/>
      <w:bookmarkEnd w:id="233"/>
      <w:bookmarkEnd w:id="234"/>
    </w:p>
    <w:p>
      <w:pPr>
        <w:rPr>
          <w:rFonts w:ascii="宋体" w:hAnsi="宋体" w:cs="宋体"/>
          <w:color w:val="auto"/>
        </w:rPr>
      </w:pPr>
    </w:p>
    <w:p>
      <w:pPr>
        <w:spacing w:line="360" w:lineRule="auto"/>
        <w:jc w:val="center"/>
        <w:rPr>
          <w:rFonts w:ascii="宋体" w:hAnsi="宋体" w:cs="宋体"/>
          <w:b/>
          <w:color w:val="auto"/>
          <w:sz w:val="24"/>
        </w:rPr>
      </w:pPr>
      <w:r>
        <w:rPr>
          <w:rFonts w:hint="eastAsia" w:ascii="宋体" w:hAnsi="宋体" w:cs="宋体"/>
          <w:b/>
          <w:color w:val="auto"/>
          <w:sz w:val="24"/>
        </w:rPr>
        <w:t>供应商基本情况表</w:t>
      </w:r>
    </w:p>
    <w:p>
      <w:pPr>
        <w:spacing w:line="440" w:lineRule="exact"/>
        <w:ind w:firstLine="420" w:firstLineChars="200"/>
        <w:rPr>
          <w:rFonts w:ascii="宋体" w:hAnsi="宋体" w:cs="宋体"/>
          <w:color w:val="auto"/>
        </w:rPr>
      </w:pPr>
    </w:p>
    <w:tbl>
      <w:tblPr>
        <w:tblStyle w:val="74"/>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87"/>
        <w:gridCol w:w="3038"/>
        <w:gridCol w:w="147"/>
        <w:gridCol w:w="1302"/>
        <w:gridCol w:w="208"/>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企业名称</w:t>
            </w:r>
          </w:p>
        </w:tc>
        <w:tc>
          <w:tcPr>
            <w:tcW w:w="31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p>
        </w:tc>
        <w:tc>
          <w:tcPr>
            <w:tcW w:w="151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成立日期</w:t>
            </w:r>
          </w:p>
        </w:tc>
        <w:tc>
          <w:tcPr>
            <w:tcW w:w="248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7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统一社会信用代码</w:t>
            </w:r>
          </w:p>
        </w:tc>
        <w:tc>
          <w:tcPr>
            <w:tcW w:w="399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注册资本</w:t>
            </w:r>
          </w:p>
        </w:tc>
        <w:tc>
          <w:tcPr>
            <w:tcW w:w="31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p>
        </w:tc>
        <w:tc>
          <w:tcPr>
            <w:tcW w:w="151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企业类型</w:t>
            </w:r>
          </w:p>
        </w:tc>
        <w:tc>
          <w:tcPr>
            <w:tcW w:w="248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批准登记机关</w:t>
            </w:r>
          </w:p>
        </w:tc>
        <w:tc>
          <w:tcPr>
            <w:tcW w:w="7181"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法定代表人</w:t>
            </w:r>
          </w:p>
        </w:tc>
        <w:tc>
          <w:tcPr>
            <w:tcW w:w="31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p>
        </w:tc>
        <w:tc>
          <w:tcPr>
            <w:tcW w:w="151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营业期限</w:t>
            </w:r>
          </w:p>
        </w:tc>
        <w:tc>
          <w:tcPr>
            <w:tcW w:w="248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资质类型</w:t>
            </w:r>
          </w:p>
        </w:tc>
        <w:tc>
          <w:tcPr>
            <w:tcW w:w="31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p>
        </w:tc>
        <w:tc>
          <w:tcPr>
            <w:tcW w:w="151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资质等级</w:t>
            </w:r>
          </w:p>
        </w:tc>
        <w:tc>
          <w:tcPr>
            <w:tcW w:w="248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主营业务</w:t>
            </w:r>
          </w:p>
        </w:tc>
        <w:tc>
          <w:tcPr>
            <w:tcW w:w="7181"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地  址</w:t>
            </w:r>
          </w:p>
        </w:tc>
        <w:tc>
          <w:tcPr>
            <w:tcW w:w="7181"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开户银行</w:t>
            </w:r>
          </w:p>
        </w:tc>
        <w:tc>
          <w:tcPr>
            <w:tcW w:w="7181"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开户行号</w:t>
            </w:r>
          </w:p>
          <w:p>
            <w:pPr>
              <w:spacing w:line="400" w:lineRule="exact"/>
              <w:rPr>
                <w:rFonts w:ascii="宋体" w:hAnsi="宋体" w:cs="宋体"/>
                <w:color w:val="auto"/>
                <w:szCs w:val="21"/>
              </w:rPr>
            </w:pPr>
            <w:r>
              <w:rPr>
                <w:rFonts w:hint="eastAsia" w:ascii="宋体" w:hAnsi="宋体" w:cs="宋体"/>
                <w:color w:val="auto"/>
                <w:szCs w:val="21"/>
              </w:rPr>
              <w:t>（如有）</w:t>
            </w:r>
          </w:p>
        </w:tc>
        <w:tc>
          <w:tcPr>
            <w:tcW w:w="7181"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银行账号</w:t>
            </w:r>
          </w:p>
        </w:tc>
        <w:tc>
          <w:tcPr>
            <w:tcW w:w="7181"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电  话</w:t>
            </w:r>
          </w:p>
        </w:tc>
        <w:tc>
          <w:tcPr>
            <w:tcW w:w="303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传  真</w:t>
            </w:r>
          </w:p>
        </w:tc>
        <w:tc>
          <w:tcPr>
            <w:tcW w:w="269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邮  箱</w:t>
            </w:r>
          </w:p>
        </w:tc>
        <w:tc>
          <w:tcPr>
            <w:tcW w:w="303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邮  编</w:t>
            </w:r>
          </w:p>
        </w:tc>
        <w:tc>
          <w:tcPr>
            <w:tcW w:w="269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78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联系人</w:t>
            </w:r>
          </w:p>
        </w:tc>
        <w:tc>
          <w:tcPr>
            <w:tcW w:w="303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r>
              <w:rPr>
                <w:rFonts w:hint="eastAsia" w:ascii="宋体" w:hAnsi="宋体" w:cs="宋体"/>
                <w:color w:val="auto"/>
                <w:szCs w:val="21"/>
              </w:rPr>
              <w:t>联系方式</w:t>
            </w:r>
          </w:p>
        </w:tc>
        <w:tc>
          <w:tcPr>
            <w:tcW w:w="269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968" w:type="dxa"/>
            <w:gridSpan w:val="6"/>
            <w:tcBorders>
              <w:top w:val="single" w:color="auto" w:sz="4" w:space="0"/>
              <w:left w:val="single" w:color="auto" w:sz="4" w:space="0"/>
              <w:bottom w:val="single" w:color="auto" w:sz="4" w:space="0"/>
              <w:right w:val="single" w:color="auto" w:sz="4" w:space="0"/>
            </w:tcBorders>
            <w:vAlign w:val="bottom"/>
          </w:tcPr>
          <w:p>
            <w:pPr>
              <w:wordWrap w:val="0"/>
              <w:spacing w:line="400" w:lineRule="exact"/>
              <w:jc w:val="right"/>
              <w:rPr>
                <w:rFonts w:ascii="宋体" w:hAnsi="宋体" w:cs="宋体"/>
                <w:color w:val="auto"/>
                <w:szCs w:val="21"/>
                <w:u w:val="single"/>
              </w:rPr>
            </w:pPr>
            <w:r>
              <w:rPr>
                <w:rFonts w:hint="eastAsia" w:ascii="宋体" w:hAnsi="宋体" w:cs="宋体"/>
                <w:color w:val="auto"/>
                <w:szCs w:val="21"/>
              </w:rPr>
              <w:t>供应商盖章：</w:t>
            </w:r>
          </w:p>
        </w:tc>
      </w:tr>
    </w:tbl>
    <w:p>
      <w:pPr>
        <w:spacing w:line="400" w:lineRule="exact"/>
        <w:ind w:firstLine="420" w:firstLineChars="200"/>
        <w:rPr>
          <w:rFonts w:ascii="宋体" w:hAnsi="宋体" w:cs="宋体"/>
          <w:color w:val="auto"/>
          <w:szCs w:val="21"/>
        </w:rPr>
      </w:pPr>
    </w:p>
    <w:p>
      <w:pPr>
        <w:spacing w:line="400" w:lineRule="exact"/>
        <w:ind w:firstLine="420" w:firstLineChars="200"/>
        <w:rPr>
          <w:rFonts w:ascii="宋体" w:hAnsi="宋体" w:cs="宋体"/>
          <w:color w:val="auto"/>
          <w:szCs w:val="21"/>
        </w:rPr>
      </w:pPr>
      <w:r>
        <w:rPr>
          <w:rFonts w:hint="eastAsia" w:ascii="宋体" w:hAnsi="宋体" w:cs="宋体"/>
          <w:color w:val="auto"/>
          <w:szCs w:val="21"/>
        </w:rPr>
        <w:t>兹声明上述信息是真实、正确的，并提供了全部能提供的资料和数据；如我方提供的证明材料有虚假情况，愿承担相应后果。</w:t>
      </w:r>
    </w:p>
    <w:p>
      <w:pPr>
        <w:spacing w:line="400" w:lineRule="exact"/>
        <w:rPr>
          <w:rFonts w:ascii="宋体" w:hAnsi="宋体" w:cs="宋体"/>
          <w:color w:val="auto"/>
          <w:szCs w:val="21"/>
        </w:rPr>
      </w:pPr>
    </w:p>
    <w:p>
      <w:pPr>
        <w:spacing w:before="120" w:beforeLines="50" w:line="400" w:lineRule="exact"/>
        <w:ind w:left="-103" w:leftChars="-49" w:firstLine="539" w:firstLineChars="257"/>
        <w:rPr>
          <w:rFonts w:ascii="宋体" w:hAnsi="宋体" w:cs="宋体"/>
          <w:color w:val="auto"/>
          <w:szCs w:val="21"/>
        </w:rPr>
      </w:pPr>
      <w:r>
        <w:rPr>
          <w:rFonts w:hint="eastAsia" w:ascii="宋体" w:hAnsi="宋体" w:cs="宋体"/>
          <w:color w:val="auto"/>
          <w:szCs w:val="21"/>
        </w:rPr>
        <w:t>供应商：（公章）</w:t>
      </w:r>
    </w:p>
    <w:p>
      <w:pPr>
        <w:spacing w:before="120" w:beforeLines="50" w:line="400" w:lineRule="exact"/>
        <w:ind w:left="460" w:leftChars="219"/>
        <w:rPr>
          <w:rFonts w:ascii="宋体" w:hAnsi="宋体" w:cs="宋体"/>
          <w:color w:val="auto"/>
          <w:szCs w:val="21"/>
        </w:rPr>
      </w:pPr>
      <w:r>
        <w:rPr>
          <w:rFonts w:hint="eastAsia" w:ascii="宋体" w:hAnsi="宋体" w:cs="宋体"/>
          <w:color w:val="auto"/>
          <w:szCs w:val="21"/>
        </w:rPr>
        <w:t>法定代表人或其授权代表：（签字或加盖人名章）</w:t>
      </w:r>
    </w:p>
    <w:p>
      <w:pPr>
        <w:spacing w:before="120" w:beforeLines="50" w:line="400" w:lineRule="exact"/>
        <w:ind w:left="460" w:leftChars="219"/>
        <w:rPr>
          <w:rFonts w:ascii="宋体" w:hAnsi="宋体" w:cs="宋体"/>
          <w:b/>
          <w:color w:val="auto"/>
          <w:sz w:val="32"/>
        </w:rPr>
      </w:pPr>
      <w:r>
        <w:rPr>
          <w:rFonts w:hint="eastAsia" w:ascii="宋体" w:hAnsi="宋体" w:cs="宋体"/>
          <w:color w:val="auto"/>
          <w:szCs w:val="21"/>
        </w:rPr>
        <w:t>日期：</w:t>
      </w:r>
      <w:bookmarkStart w:id="235" w:name="_Toc416103819"/>
      <w:bookmarkStart w:id="236" w:name="_Toc410631178"/>
      <w:bookmarkStart w:id="237" w:name="_Toc414445769"/>
      <w:r>
        <w:rPr>
          <w:rFonts w:hint="eastAsia" w:ascii="宋体" w:hAnsi="宋体" w:cs="宋体"/>
          <w:b/>
          <w:color w:val="auto"/>
          <w:sz w:val="32"/>
        </w:rPr>
        <w:br w:type="page"/>
      </w:r>
    </w:p>
    <w:bookmarkEnd w:id="235"/>
    <w:bookmarkEnd w:id="236"/>
    <w:bookmarkEnd w:id="237"/>
    <w:p>
      <w:pPr>
        <w:pStyle w:val="281"/>
        <w:numPr>
          <w:ilvl w:val="0"/>
          <w:numId w:val="16"/>
        </w:numPr>
        <w:spacing w:line="360" w:lineRule="auto"/>
        <w:ind w:left="1276" w:hanging="1276" w:firstLineChars="0"/>
        <w:outlineLvl w:val="1"/>
        <w:rPr>
          <w:rFonts w:ascii="宋体" w:hAnsi="宋体" w:cs="宋体"/>
          <w:b/>
          <w:color w:val="auto"/>
          <w:sz w:val="24"/>
        </w:rPr>
      </w:pPr>
      <w:bookmarkStart w:id="238" w:name="_Toc3220214"/>
      <w:bookmarkStart w:id="239" w:name="_Toc3172"/>
      <w:bookmarkStart w:id="240" w:name="_Toc4433593"/>
      <w:r>
        <w:rPr>
          <w:rFonts w:hint="eastAsia" w:ascii="宋体" w:hAnsi="宋体" w:cs="宋体"/>
          <w:b/>
          <w:color w:val="auto"/>
          <w:sz w:val="24"/>
        </w:rPr>
        <w:t>资格证明文件</w:t>
      </w:r>
      <w:bookmarkEnd w:id="238"/>
      <w:bookmarkEnd w:id="239"/>
      <w:bookmarkEnd w:id="240"/>
    </w:p>
    <w:p>
      <w:pPr>
        <w:numPr>
          <w:ilvl w:val="1"/>
          <w:numId w:val="17"/>
        </w:numPr>
        <w:tabs>
          <w:tab w:val="left" w:pos="993"/>
          <w:tab w:val="left" w:pos="1030"/>
          <w:tab w:val="left" w:pos="8364"/>
        </w:tabs>
        <w:snapToGrid w:val="0"/>
        <w:spacing w:after="120" w:afterLines="50" w:line="400" w:lineRule="exact"/>
        <w:ind w:left="993" w:right="-57" w:rightChars="-27" w:hanging="573"/>
        <w:jc w:val="left"/>
        <w:rPr>
          <w:rFonts w:ascii="宋体" w:hAnsi="宋体" w:cs="宋体"/>
          <w:color w:val="auto"/>
          <w:szCs w:val="21"/>
        </w:rPr>
      </w:pPr>
      <w:r>
        <w:rPr>
          <w:rFonts w:hint="eastAsia" w:ascii="宋体" w:hAnsi="宋体" w:cs="宋体"/>
          <w:color w:val="auto"/>
          <w:szCs w:val="21"/>
        </w:rPr>
        <w:t>供应商的企业法人营业执照副本复印件；</w:t>
      </w:r>
    </w:p>
    <w:p>
      <w:pPr>
        <w:numPr>
          <w:ilvl w:val="1"/>
          <w:numId w:val="17"/>
        </w:numPr>
        <w:tabs>
          <w:tab w:val="left" w:pos="993"/>
          <w:tab w:val="left" w:pos="1030"/>
          <w:tab w:val="left" w:pos="8364"/>
        </w:tabs>
        <w:snapToGrid w:val="0"/>
        <w:spacing w:after="120" w:afterLines="50" w:line="400" w:lineRule="exact"/>
        <w:ind w:left="993" w:right="-57" w:rightChars="-27" w:hanging="573"/>
        <w:jc w:val="left"/>
        <w:rPr>
          <w:rFonts w:ascii="宋体" w:hAnsi="宋体" w:cs="宋体"/>
          <w:color w:val="auto"/>
          <w:szCs w:val="21"/>
        </w:rPr>
      </w:pPr>
      <w:r>
        <w:rPr>
          <w:rFonts w:hint="eastAsia" w:ascii="宋体" w:hAnsi="宋体" w:cs="宋体"/>
          <w:color w:val="auto"/>
          <w:szCs w:val="21"/>
        </w:rPr>
        <w:t>供应商上一年度的财务报表复印件（包括资产负债表、现金流量表、利润表）或其基本开户银行出具的资信证明（格式要求见附件8-2）；</w:t>
      </w:r>
    </w:p>
    <w:p>
      <w:pPr>
        <w:numPr>
          <w:ilvl w:val="1"/>
          <w:numId w:val="17"/>
        </w:numPr>
        <w:tabs>
          <w:tab w:val="left" w:pos="993"/>
          <w:tab w:val="left" w:pos="1030"/>
          <w:tab w:val="left" w:pos="8364"/>
        </w:tabs>
        <w:snapToGrid w:val="0"/>
        <w:spacing w:after="120" w:afterLines="50" w:line="400" w:lineRule="exact"/>
        <w:ind w:left="993" w:right="-57" w:rightChars="-27" w:hanging="573"/>
        <w:jc w:val="left"/>
        <w:rPr>
          <w:rFonts w:ascii="宋体" w:hAnsi="宋体" w:cs="宋体"/>
          <w:color w:val="auto"/>
          <w:szCs w:val="21"/>
        </w:rPr>
      </w:pPr>
      <w:r>
        <w:rPr>
          <w:rFonts w:hint="eastAsia" w:ascii="宋体" w:hAnsi="宋体" w:cs="宋体"/>
          <w:color w:val="auto"/>
          <w:szCs w:val="21"/>
        </w:rPr>
        <w:t>依法缴纳税收和社会保障资金的证明材料复印件（格式见附件8-3、8-4）</w:t>
      </w:r>
    </w:p>
    <w:p>
      <w:pPr>
        <w:numPr>
          <w:ilvl w:val="1"/>
          <w:numId w:val="17"/>
        </w:numPr>
        <w:tabs>
          <w:tab w:val="left" w:pos="993"/>
          <w:tab w:val="left" w:pos="1030"/>
          <w:tab w:val="left" w:pos="8364"/>
        </w:tabs>
        <w:snapToGrid w:val="0"/>
        <w:spacing w:after="120" w:afterLines="50" w:line="400" w:lineRule="exact"/>
        <w:ind w:left="993" w:right="-57" w:rightChars="-27" w:hanging="573"/>
        <w:jc w:val="left"/>
        <w:rPr>
          <w:rFonts w:ascii="宋体" w:hAnsi="宋体" w:cs="宋体"/>
          <w:color w:val="auto"/>
          <w:szCs w:val="21"/>
        </w:rPr>
      </w:pPr>
      <w:r>
        <w:rPr>
          <w:rFonts w:hint="eastAsia" w:ascii="宋体" w:hAnsi="宋体" w:cs="宋体"/>
          <w:color w:val="auto"/>
          <w:szCs w:val="21"/>
        </w:rPr>
        <w:t>具备履行合同所必需的设备和专业技术能力的承诺原件（格式见附件8-5）；</w:t>
      </w:r>
    </w:p>
    <w:p>
      <w:pPr>
        <w:numPr>
          <w:ilvl w:val="1"/>
          <w:numId w:val="17"/>
        </w:numPr>
        <w:tabs>
          <w:tab w:val="left" w:pos="993"/>
          <w:tab w:val="left" w:pos="1030"/>
          <w:tab w:val="left" w:pos="8364"/>
        </w:tabs>
        <w:snapToGrid w:val="0"/>
        <w:spacing w:after="120" w:afterLines="50" w:line="400" w:lineRule="exact"/>
        <w:ind w:left="993" w:right="-57" w:rightChars="-27" w:hanging="573"/>
        <w:jc w:val="left"/>
        <w:rPr>
          <w:rFonts w:ascii="宋体" w:hAnsi="宋体" w:cs="宋体"/>
          <w:color w:val="auto"/>
          <w:szCs w:val="21"/>
        </w:rPr>
      </w:pPr>
      <w:r>
        <w:rPr>
          <w:rFonts w:hint="eastAsia" w:ascii="宋体" w:hAnsi="宋体" w:cs="宋体"/>
          <w:color w:val="auto"/>
          <w:szCs w:val="21"/>
        </w:rPr>
        <w:t>供应商参加政府采购活动前3年内在经营活动中没有重大违法记录的书面声明原件（格式见附件8-6）</w:t>
      </w:r>
    </w:p>
    <w:p>
      <w:pPr>
        <w:numPr>
          <w:ilvl w:val="1"/>
          <w:numId w:val="17"/>
        </w:numPr>
        <w:tabs>
          <w:tab w:val="left" w:pos="993"/>
          <w:tab w:val="left" w:pos="1030"/>
          <w:tab w:val="left" w:pos="8364"/>
        </w:tabs>
        <w:snapToGrid w:val="0"/>
        <w:spacing w:after="120" w:afterLines="50" w:line="400" w:lineRule="exact"/>
        <w:ind w:left="993" w:right="-57" w:rightChars="-27" w:hanging="573"/>
        <w:jc w:val="left"/>
        <w:rPr>
          <w:rFonts w:ascii="宋体" w:hAnsi="宋体" w:cs="宋体"/>
          <w:color w:val="auto"/>
          <w:szCs w:val="21"/>
        </w:rPr>
      </w:pPr>
      <w:r>
        <w:rPr>
          <w:rFonts w:hint="eastAsia" w:ascii="宋体" w:hAnsi="宋体" w:cs="宋体"/>
          <w:color w:val="auto"/>
          <w:szCs w:val="21"/>
        </w:rPr>
        <w:t>供应商控股股东名称、控股公司的名称和存在管理、被管理关系的单位名称说明（格式见附件8-7)</w:t>
      </w:r>
    </w:p>
    <w:p>
      <w:pPr>
        <w:numPr>
          <w:ilvl w:val="1"/>
          <w:numId w:val="17"/>
        </w:numPr>
        <w:tabs>
          <w:tab w:val="left" w:pos="993"/>
          <w:tab w:val="left" w:pos="1030"/>
          <w:tab w:val="left" w:pos="8364"/>
        </w:tabs>
        <w:snapToGrid w:val="0"/>
        <w:spacing w:after="120" w:afterLines="50" w:line="400" w:lineRule="exact"/>
        <w:ind w:left="993" w:right="-57" w:rightChars="-27" w:hanging="573"/>
        <w:jc w:val="left"/>
        <w:rPr>
          <w:rFonts w:ascii="宋体" w:hAnsi="宋体" w:cs="宋体"/>
          <w:color w:val="auto"/>
          <w:szCs w:val="21"/>
        </w:rPr>
      </w:pPr>
      <w:r>
        <w:rPr>
          <w:rFonts w:hint="eastAsia" w:ascii="宋体" w:hAnsi="宋体" w:cs="宋体"/>
          <w:color w:val="auto"/>
          <w:szCs w:val="21"/>
        </w:rPr>
        <w:t>供应商是否属于为本项目提供整体设计、规范编制或者项目管理、监理、检测等服务的供应商声明原件（格式见附件8-8)</w:t>
      </w:r>
    </w:p>
    <w:p>
      <w:pPr>
        <w:pStyle w:val="2"/>
        <w:ind w:firstLine="420" w:firstLineChars="200"/>
        <w:rPr>
          <w:rFonts w:ascii="宋体" w:hAnsi="宋体" w:cs="宋体"/>
          <w:b w:val="0"/>
          <w:bCs w:val="0"/>
          <w:color w:val="auto"/>
          <w:sz w:val="21"/>
          <w:szCs w:val="21"/>
        </w:rPr>
      </w:pPr>
      <w:r>
        <w:rPr>
          <w:rFonts w:hint="eastAsia" w:ascii="宋体" w:hAnsi="宋体" w:cs="宋体"/>
          <w:b w:val="0"/>
          <w:bCs w:val="0"/>
          <w:color w:val="auto"/>
          <w:sz w:val="21"/>
          <w:szCs w:val="21"/>
        </w:rPr>
        <w:t>8、提供供应商代表和拟派项目经理近3个月的缴纳社保查询记录。</w:t>
      </w:r>
    </w:p>
    <w:p>
      <w:pPr>
        <w:tabs>
          <w:tab w:val="left" w:pos="780"/>
          <w:tab w:val="left" w:pos="993"/>
          <w:tab w:val="left" w:pos="1030"/>
          <w:tab w:val="left" w:pos="1134"/>
          <w:tab w:val="left" w:pos="8364"/>
        </w:tabs>
        <w:snapToGrid w:val="0"/>
        <w:spacing w:after="120" w:afterLines="50" w:line="400" w:lineRule="exact"/>
        <w:ind w:left="993" w:right="-57" w:rightChars="-27"/>
        <w:jc w:val="left"/>
        <w:rPr>
          <w:rFonts w:ascii="宋体" w:hAnsi="宋体" w:cs="宋体"/>
          <w:color w:val="auto"/>
          <w:szCs w:val="21"/>
        </w:rPr>
      </w:pPr>
    </w:p>
    <w:p>
      <w:pPr>
        <w:adjustRightInd w:val="0"/>
        <w:spacing w:line="400" w:lineRule="exact"/>
        <w:ind w:firstLine="420" w:firstLineChars="200"/>
        <w:jc w:val="left"/>
        <w:textAlignment w:val="baseline"/>
        <w:rPr>
          <w:rFonts w:ascii="宋体" w:hAnsi="宋体" w:cs="宋体"/>
          <w:color w:val="auto"/>
          <w:szCs w:val="21"/>
        </w:rPr>
      </w:pPr>
      <w:r>
        <w:rPr>
          <w:rFonts w:hint="eastAsia" w:ascii="宋体" w:hAnsi="宋体" w:cs="宋体"/>
          <w:color w:val="auto"/>
          <w:szCs w:val="21"/>
        </w:rPr>
        <w:t>以上提供的原件、扫描件、复印件必须加盖供应商公章。</w:t>
      </w:r>
    </w:p>
    <w:p>
      <w:pPr>
        <w:jc w:val="center"/>
        <w:rPr>
          <w:rFonts w:ascii="宋体" w:hAnsi="宋体" w:cs="宋体"/>
          <w:color w:val="auto"/>
        </w:rPr>
      </w:pPr>
      <w:r>
        <w:rPr>
          <w:rFonts w:hint="eastAsia" w:ascii="宋体" w:hAnsi="宋体" w:cs="宋体"/>
          <w:color w:val="auto"/>
        </w:rPr>
        <w:br w:type="page"/>
      </w:r>
      <w:bookmarkStart w:id="241" w:name="_Hlt520274121"/>
      <w:bookmarkEnd w:id="241"/>
    </w:p>
    <w:p>
      <w:pPr>
        <w:jc w:val="center"/>
        <w:rPr>
          <w:rFonts w:ascii="宋体" w:hAnsi="宋体" w:cs="宋体"/>
          <w:color w:val="auto"/>
          <w:spacing w:val="20"/>
          <w:sz w:val="30"/>
          <w:szCs w:val="30"/>
        </w:rPr>
      </w:pPr>
    </w:p>
    <w:p>
      <w:pPr>
        <w:pStyle w:val="281"/>
        <w:spacing w:line="360" w:lineRule="auto"/>
        <w:ind w:firstLine="0" w:firstLineChars="0"/>
        <w:jc w:val="left"/>
        <w:outlineLvl w:val="2"/>
        <w:rPr>
          <w:rFonts w:ascii="宋体" w:hAnsi="宋体" w:cs="宋体"/>
          <w:b/>
          <w:color w:val="auto"/>
          <w:sz w:val="24"/>
        </w:rPr>
      </w:pPr>
      <w:bookmarkStart w:id="242" w:name="_Toc4433594"/>
      <w:bookmarkStart w:id="243" w:name="_Toc3220215"/>
      <w:r>
        <w:rPr>
          <w:rFonts w:hint="eastAsia" w:ascii="宋体" w:hAnsi="宋体" w:cs="宋体"/>
          <w:b/>
          <w:color w:val="auto"/>
          <w:sz w:val="24"/>
        </w:rPr>
        <w:t>8--1  供应商的企业法人营业执照副本复印件（加盖公章）</w:t>
      </w:r>
      <w:bookmarkEnd w:id="242"/>
      <w:bookmarkEnd w:id="243"/>
    </w:p>
    <w:p>
      <w:pPr>
        <w:spacing w:line="360" w:lineRule="auto"/>
        <w:jc w:val="left"/>
        <w:rPr>
          <w:rFonts w:ascii="宋体" w:hAnsi="宋体" w:cs="宋体"/>
          <w:color w:val="auto"/>
          <w:sz w:val="24"/>
        </w:rPr>
      </w:pPr>
    </w:p>
    <w:p>
      <w:pPr>
        <w:spacing w:line="400" w:lineRule="exact"/>
        <w:ind w:firstLine="218" w:firstLineChars="104"/>
        <w:jc w:val="left"/>
        <w:rPr>
          <w:rFonts w:ascii="宋体" w:hAnsi="宋体" w:cs="宋体"/>
          <w:color w:val="auto"/>
          <w:szCs w:val="21"/>
        </w:rPr>
      </w:pPr>
      <w:r>
        <w:rPr>
          <w:rFonts w:hint="eastAsia" w:ascii="宋体" w:hAnsi="宋体" w:cs="宋体"/>
          <w:color w:val="auto"/>
          <w:szCs w:val="21"/>
        </w:rPr>
        <w:t>（注：根据项目实际情况，本项内容可能要求提供“事业单位法人证书”、执业许可证、自然人身份证明等证明材料）</w:t>
      </w:r>
    </w:p>
    <w:p>
      <w:pPr>
        <w:adjustRightInd w:val="0"/>
        <w:spacing w:line="360" w:lineRule="auto"/>
        <w:jc w:val="left"/>
        <w:textAlignment w:val="baseline"/>
        <w:rPr>
          <w:rFonts w:ascii="宋体" w:hAnsi="宋体" w:cs="宋体"/>
          <w:b/>
          <w:color w:val="auto"/>
          <w:sz w:val="28"/>
        </w:rPr>
      </w:pPr>
      <w:r>
        <w:rPr>
          <w:rFonts w:hint="eastAsia" w:ascii="宋体" w:hAnsi="宋体" w:cs="宋体"/>
          <w:b/>
          <w:color w:val="auto"/>
        </w:rPr>
        <w:br w:type="page"/>
      </w:r>
    </w:p>
    <w:bookmarkEnd w:id="218"/>
    <w:p>
      <w:pPr>
        <w:pStyle w:val="281"/>
        <w:spacing w:line="360" w:lineRule="auto"/>
        <w:ind w:firstLine="0" w:firstLineChars="0"/>
        <w:jc w:val="left"/>
        <w:outlineLvl w:val="2"/>
        <w:rPr>
          <w:rFonts w:ascii="宋体" w:hAnsi="宋体" w:cs="宋体"/>
          <w:b/>
          <w:color w:val="auto"/>
          <w:sz w:val="24"/>
        </w:rPr>
      </w:pPr>
      <w:bookmarkStart w:id="244" w:name="_Ref527015333"/>
      <w:bookmarkStart w:id="245" w:name="_Toc4433595"/>
      <w:bookmarkStart w:id="246" w:name="_Toc3220216"/>
      <w:r>
        <w:rPr>
          <w:rFonts w:hint="eastAsia" w:ascii="宋体" w:hAnsi="宋体" w:cs="宋体"/>
          <w:b/>
          <w:color w:val="auto"/>
          <w:sz w:val="24"/>
        </w:rPr>
        <w:t>8--2  上一年度的财务报表</w:t>
      </w:r>
      <w:bookmarkEnd w:id="244"/>
      <w:bookmarkEnd w:id="245"/>
      <w:bookmarkEnd w:id="246"/>
    </w:p>
    <w:p>
      <w:pPr>
        <w:spacing w:line="360" w:lineRule="auto"/>
        <w:rPr>
          <w:rFonts w:ascii="宋体" w:hAnsi="宋体" w:cs="宋体"/>
          <w:color w:val="auto"/>
          <w:sz w:val="24"/>
        </w:rPr>
      </w:pPr>
    </w:p>
    <w:p>
      <w:pPr>
        <w:spacing w:line="400" w:lineRule="exact"/>
        <w:ind w:right="153" w:firstLine="420" w:firstLineChars="200"/>
        <w:rPr>
          <w:rFonts w:ascii="宋体" w:hAnsi="宋体" w:cs="宋体"/>
          <w:color w:val="auto"/>
          <w:szCs w:val="21"/>
        </w:rPr>
      </w:pPr>
      <w:r>
        <w:rPr>
          <w:rFonts w:hint="eastAsia" w:ascii="宋体" w:hAnsi="宋体" w:cs="宋体"/>
          <w:color w:val="auto"/>
          <w:szCs w:val="21"/>
        </w:rPr>
        <w:t>提供供应商上一年度的财务报表（包括资产负债表、现金流量表、利润表）复印件或扫描件、所有复印件或扫描件需加盖单位公章。</w:t>
      </w:r>
    </w:p>
    <w:p>
      <w:pPr>
        <w:spacing w:line="360" w:lineRule="auto"/>
        <w:rPr>
          <w:rFonts w:ascii="宋体" w:hAnsi="宋体" w:cs="宋体"/>
          <w:color w:val="auto"/>
          <w:sz w:val="24"/>
        </w:rPr>
      </w:pPr>
    </w:p>
    <w:p>
      <w:pPr>
        <w:widowControl/>
        <w:spacing w:line="360" w:lineRule="auto"/>
        <w:jc w:val="left"/>
        <w:rPr>
          <w:rFonts w:ascii="宋体" w:hAnsi="宋体" w:cs="宋体"/>
          <w:b/>
          <w:color w:val="auto"/>
          <w:spacing w:val="20"/>
          <w:sz w:val="24"/>
        </w:rPr>
      </w:pPr>
    </w:p>
    <w:p>
      <w:pPr>
        <w:ind w:left="566" w:hanging="566" w:hangingChars="235"/>
        <w:jc w:val="left"/>
        <w:outlineLvl w:val="2"/>
        <w:rPr>
          <w:rFonts w:ascii="宋体" w:hAnsi="宋体" w:cs="宋体"/>
          <w:b/>
          <w:color w:val="auto"/>
          <w:sz w:val="24"/>
        </w:rPr>
      </w:pPr>
      <w:bookmarkStart w:id="247" w:name="_Toc2058"/>
      <w:bookmarkStart w:id="248" w:name="_Toc27249"/>
      <w:bookmarkStart w:id="249" w:name="_Toc2920"/>
      <w:r>
        <w:rPr>
          <w:rFonts w:hint="eastAsia" w:ascii="宋体" w:hAnsi="宋体" w:cs="宋体"/>
          <w:b/>
          <w:color w:val="auto"/>
          <w:sz w:val="24"/>
        </w:rPr>
        <w:t>8—2</w:t>
      </w:r>
      <w:r>
        <w:rPr>
          <w:rFonts w:hint="eastAsia" w:ascii="宋体" w:hAnsi="宋体" w:cs="宋体"/>
          <w:b/>
          <w:color w:val="auto"/>
          <w:sz w:val="24"/>
        </w:rPr>
        <w:tab/>
      </w:r>
      <w:r>
        <w:rPr>
          <w:rFonts w:hint="eastAsia" w:ascii="宋体" w:hAnsi="宋体" w:cs="宋体"/>
          <w:b/>
          <w:color w:val="auto"/>
          <w:sz w:val="24"/>
        </w:rPr>
        <w:t>本年度基本开户银行出具的资信证明</w:t>
      </w:r>
      <w:bookmarkEnd w:id="247"/>
      <w:bookmarkEnd w:id="248"/>
      <w:bookmarkEnd w:id="249"/>
    </w:p>
    <w:p>
      <w:pPr>
        <w:jc w:val="center"/>
        <w:rPr>
          <w:rFonts w:ascii="宋体" w:hAnsi="宋体" w:cs="宋体"/>
          <w:b/>
          <w:color w:val="auto"/>
          <w:sz w:val="24"/>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r>
        <w:rPr>
          <w:rFonts w:hint="eastAsia" w:ascii="宋体" w:hAnsi="宋体" w:cs="宋体"/>
          <w:color w:val="auto"/>
          <w:szCs w:val="21"/>
        </w:rPr>
        <w:t>注：</w:t>
      </w:r>
      <w:r>
        <w:rPr>
          <w:rFonts w:hint="eastAsia" w:ascii="宋体" w:hAnsi="宋体" w:cs="宋体"/>
          <w:bCs/>
          <w:color w:val="auto"/>
          <w:szCs w:val="21"/>
        </w:rPr>
        <w:t>附基本帐户的“银行开户许可证”或基本存款账户信息的复印件。</w:t>
      </w:r>
    </w:p>
    <w:p>
      <w:pPr>
        <w:jc w:val="center"/>
        <w:rPr>
          <w:rFonts w:ascii="宋体" w:hAnsi="宋体" w:cs="宋体"/>
          <w:b/>
          <w:color w:val="auto"/>
          <w:sz w:val="24"/>
        </w:rPr>
      </w:pPr>
    </w:p>
    <w:p>
      <w:pPr>
        <w:jc w:val="center"/>
        <w:rPr>
          <w:rFonts w:ascii="宋体" w:hAnsi="宋体" w:cs="宋体"/>
          <w:b/>
          <w:color w:val="auto"/>
          <w:sz w:val="24"/>
        </w:rPr>
      </w:pPr>
    </w:p>
    <w:p>
      <w:pPr>
        <w:jc w:val="center"/>
        <w:rPr>
          <w:rFonts w:ascii="宋体" w:hAnsi="宋体" w:cs="宋体"/>
          <w:b/>
          <w:color w:val="auto"/>
          <w:sz w:val="24"/>
        </w:rPr>
      </w:pPr>
    </w:p>
    <w:p>
      <w:pPr>
        <w:widowControl/>
        <w:spacing w:line="360" w:lineRule="auto"/>
        <w:jc w:val="left"/>
        <w:rPr>
          <w:rFonts w:ascii="宋体" w:hAnsi="宋体" w:cs="宋体"/>
          <w:b/>
          <w:color w:val="auto"/>
          <w:spacing w:val="20"/>
          <w:sz w:val="24"/>
        </w:rPr>
      </w:pPr>
      <w:r>
        <w:rPr>
          <w:rFonts w:hint="eastAsia" w:ascii="宋体" w:hAnsi="宋体" w:cs="宋体"/>
          <w:b/>
          <w:color w:val="auto"/>
          <w:sz w:val="24"/>
        </w:rPr>
        <w:t>（注：银行资信证明与供应商财务状况表二选一）</w:t>
      </w:r>
      <w:r>
        <w:rPr>
          <w:rFonts w:hint="eastAsia" w:ascii="宋体" w:hAnsi="宋体" w:cs="宋体"/>
          <w:b/>
          <w:color w:val="auto"/>
          <w:spacing w:val="20"/>
          <w:sz w:val="24"/>
        </w:rPr>
        <w:br w:type="page"/>
      </w:r>
    </w:p>
    <w:p>
      <w:pPr>
        <w:tabs>
          <w:tab w:val="left" w:pos="5580"/>
        </w:tabs>
        <w:spacing w:before="120" w:line="360" w:lineRule="auto"/>
        <w:ind w:firstLine="480" w:firstLineChars="200"/>
        <w:rPr>
          <w:rFonts w:ascii="宋体" w:hAnsi="宋体" w:cs="宋体"/>
          <w:color w:val="auto"/>
          <w:sz w:val="24"/>
        </w:rPr>
      </w:pPr>
    </w:p>
    <w:p>
      <w:pPr>
        <w:pStyle w:val="281"/>
        <w:ind w:firstLine="0" w:firstLineChars="0"/>
        <w:rPr>
          <w:rFonts w:ascii="宋体" w:hAnsi="宋体" w:cs="宋体"/>
          <w:color w:val="auto"/>
        </w:rPr>
      </w:pPr>
      <w:bookmarkStart w:id="250" w:name="_Toc3220217"/>
      <w:bookmarkStart w:id="251" w:name="_Toc4433596"/>
      <w:r>
        <w:rPr>
          <w:rFonts w:hint="eastAsia" w:ascii="宋体" w:hAnsi="宋体" w:cs="宋体"/>
          <w:b/>
          <w:color w:val="auto"/>
          <w:sz w:val="24"/>
        </w:rPr>
        <w:t>8--3  依法缴纳税收的证明</w:t>
      </w:r>
      <w:bookmarkEnd w:id="250"/>
      <w:bookmarkEnd w:id="251"/>
    </w:p>
    <w:p>
      <w:pPr>
        <w:tabs>
          <w:tab w:val="left" w:pos="993"/>
          <w:tab w:val="left" w:pos="1030"/>
          <w:tab w:val="left" w:pos="8364"/>
        </w:tabs>
        <w:snapToGrid w:val="0"/>
        <w:spacing w:after="120" w:afterLines="50" w:line="360" w:lineRule="auto"/>
        <w:ind w:left="420" w:right="-57" w:rightChars="-27" w:firstLine="480" w:firstLineChars="200"/>
        <w:jc w:val="left"/>
        <w:rPr>
          <w:rFonts w:ascii="宋体" w:hAnsi="宋体" w:cs="宋体"/>
          <w:color w:val="auto"/>
          <w:sz w:val="24"/>
        </w:rPr>
      </w:pPr>
    </w:p>
    <w:p>
      <w:pPr>
        <w:tabs>
          <w:tab w:val="left" w:pos="993"/>
          <w:tab w:val="left" w:pos="1030"/>
          <w:tab w:val="left" w:pos="8364"/>
        </w:tabs>
        <w:snapToGrid w:val="0"/>
        <w:spacing w:after="120" w:afterLines="50" w:line="360" w:lineRule="auto"/>
        <w:ind w:left="420" w:right="-57" w:rightChars="-27" w:firstLine="420" w:firstLineChars="200"/>
        <w:jc w:val="left"/>
        <w:rPr>
          <w:rFonts w:ascii="宋体" w:hAnsi="宋体" w:cs="宋体"/>
          <w:color w:val="auto"/>
          <w:szCs w:val="21"/>
        </w:rPr>
      </w:pPr>
      <w:r>
        <w:rPr>
          <w:rFonts w:hint="eastAsia" w:ascii="宋体" w:hAnsi="宋体" w:cs="宋体"/>
          <w:color w:val="auto"/>
          <w:szCs w:val="21"/>
        </w:rPr>
        <w:t>说明：</w:t>
      </w:r>
    </w:p>
    <w:p>
      <w:pPr>
        <w:tabs>
          <w:tab w:val="left" w:pos="993"/>
          <w:tab w:val="left" w:pos="1030"/>
          <w:tab w:val="left" w:pos="8364"/>
        </w:tabs>
        <w:snapToGrid w:val="0"/>
        <w:spacing w:after="120" w:afterLines="50" w:line="360" w:lineRule="auto"/>
        <w:ind w:left="420" w:right="-57" w:rightChars="-27" w:firstLine="420" w:firstLineChars="200"/>
        <w:jc w:val="left"/>
        <w:rPr>
          <w:rFonts w:ascii="宋体" w:hAnsi="宋体" w:cs="宋体"/>
          <w:color w:val="auto"/>
          <w:szCs w:val="21"/>
        </w:rPr>
      </w:pPr>
      <w:r>
        <w:rPr>
          <w:rFonts w:hint="eastAsia" w:ascii="宋体" w:hAnsi="宋体" w:cs="宋体"/>
          <w:color w:val="auto"/>
          <w:szCs w:val="21"/>
        </w:rPr>
        <w:t>1、提供了近六个月中任何一个月的缴纳税收的凭证（银行出具的缴税凭证并加盖本单位公章）或免税声明函，格式自拟）。</w:t>
      </w:r>
    </w:p>
    <w:p>
      <w:pPr>
        <w:tabs>
          <w:tab w:val="left" w:pos="993"/>
          <w:tab w:val="left" w:pos="1030"/>
          <w:tab w:val="left" w:pos="8364"/>
        </w:tabs>
        <w:snapToGrid w:val="0"/>
        <w:spacing w:after="120" w:afterLines="50" w:line="360" w:lineRule="auto"/>
        <w:ind w:right="-57" w:rightChars="-27"/>
        <w:jc w:val="left"/>
        <w:rPr>
          <w:rFonts w:ascii="宋体" w:hAnsi="宋体" w:cs="宋体"/>
          <w:color w:val="auto"/>
          <w:sz w:val="24"/>
        </w:rPr>
      </w:pPr>
      <w:r>
        <w:rPr>
          <w:rFonts w:hint="eastAsia" w:ascii="宋体" w:hAnsi="宋体" w:cs="宋体"/>
          <w:color w:val="auto"/>
          <w:szCs w:val="21"/>
        </w:rPr>
        <w:t xml:space="preserve">        2、依法免税的供应商，应提供免税声明函（格式自拟并加盖公章）。</w:t>
      </w:r>
    </w:p>
    <w:p>
      <w:pPr>
        <w:tabs>
          <w:tab w:val="left" w:pos="993"/>
          <w:tab w:val="left" w:pos="1030"/>
          <w:tab w:val="left" w:pos="8364"/>
        </w:tabs>
        <w:snapToGrid w:val="0"/>
        <w:spacing w:after="120" w:afterLines="50" w:line="360" w:lineRule="auto"/>
        <w:ind w:left="420" w:right="-57" w:rightChars="-27" w:firstLine="480" w:firstLineChars="200"/>
        <w:jc w:val="left"/>
        <w:rPr>
          <w:rFonts w:ascii="宋体" w:hAnsi="宋体" w:cs="宋体"/>
          <w:color w:val="auto"/>
          <w:sz w:val="24"/>
        </w:rPr>
      </w:pPr>
    </w:p>
    <w:p>
      <w:pPr>
        <w:pStyle w:val="281"/>
        <w:spacing w:line="360" w:lineRule="auto"/>
        <w:ind w:firstLine="0" w:firstLineChars="0"/>
        <w:jc w:val="left"/>
        <w:outlineLvl w:val="2"/>
        <w:rPr>
          <w:rFonts w:ascii="宋体" w:hAnsi="宋体" w:cs="宋体"/>
          <w:b/>
          <w:color w:val="auto"/>
          <w:sz w:val="24"/>
        </w:rPr>
      </w:pPr>
      <w:bookmarkStart w:id="252" w:name="_Toc4433597"/>
      <w:bookmarkStart w:id="253" w:name="_Toc3220218"/>
      <w:r>
        <w:rPr>
          <w:rFonts w:hint="eastAsia" w:ascii="宋体" w:hAnsi="宋体" w:cs="宋体"/>
          <w:b/>
          <w:color w:val="auto"/>
          <w:sz w:val="24"/>
        </w:rPr>
        <w:t>8--4  社会保障资金缴纳记录</w:t>
      </w:r>
      <w:bookmarkEnd w:id="252"/>
      <w:bookmarkEnd w:id="253"/>
    </w:p>
    <w:p>
      <w:pPr>
        <w:tabs>
          <w:tab w:val="left" w:pos="993"/>
          <w:tab w:val="left" w:pos="1030"/>
          <w:tab w:val="left" w:pos="8364"/>
        </w:tabs>
        <w:snapToGrid w:val="0"/>
        <w:spacing w:after="120" w:afterLines="50" w:line="360" w:lineRule="auto"/>
        <w:ind w:left="420" w:leftChars="200" w:right="-57" w:rightChars="-27" w:firstLine="571" w:firstLineChars="238"/>
        <w:jc w:val="left"/>
        <w:rPr>
          <w:rFonts w:ascii="宋体" w:hAnsi="宋体" w:cs="宋体"/>
          <w:color w:val="auto"/>
          <w:sz w:val="24"/>
        </w:rPr>
      </w:pPr>
    </w:p>
    <w:p>
      <w:pPr>
        <w:tabs>
          <w:tab w:val="left" w:pos="993"/>
          <w:tab w:val="left" w:pos="1030"/>
          <w:tab w:val="left" w:pos="8364"/>
        </w:tabs>
        <w:snapToGrid w:val="0"/>
        <w:spacing w:after="120" w:afterLines="50" w:line="360" w:lineRule="auto"/>
        <w:ind w:left="420" w:leftChars="200" w:right="-57" w:rightChars="-27" w:firstLine="499" w:firstLineChars="238"/>
        <w:jc w:val="left"/>
        <w:rPr>
          <w:rFonts w:ascii="宋体" w:hAnsi="宋体" w:cs="宋体"/>
          <w:color w:val="auto"/>
          <w:szCs w:val="21"/>
        </w:rPr>
      </w:pPr>
      <w:r>
        <w:rPr>
          <w:rFonts w:hint="eastAsia" w:ascii="宋体" w:hAnsi="宋体" w:cs="宋体"/>
          <w:color w:val="auto"/>
          <w:szCs w:val="21"/>
        </w:rPr>
        <w:t>说明：</w:t>
      </w:r>
    </w:p>
    <w:p>
      <w:pPr>
        <w:numPr>
          <w:ilvl w:val="0"/>
          <w:numId w:val="18"/>
        </w:numPr>
        <w:tabs>
          <w:tab w:val="left" w:pos="993"/>
          <w:tab w:val="left" w:pos="1030"/>
          <w:tab w:val="left" w:pos="8364"/>
        </w:tabs>
        <w:snapToGrid w:val="0"/>
        <w:spacing w:after="120" w:afterLines="50" w:line="360" w:lineRule="auto"/>
        <w:ind w:left="420" w:leftChars="200" w:right="-57" w:rightChars="-27" w:firstLine="499" w:firstLineChars="238"/>
        <w:jc w:val="left"/>
        <w:rPr>
          <w:rFonts w:ascii="宋体" w:hAnsi="宋体" w:cs="宋体"/>
          <w:color w:val="auto"/>
          <w:szCs w:val="21"/>
        </w:rPr>
      </w:pPr>
      <w:r>
        <w:rPr>
          <w:rFonts w:hint="eastAsia" w:ascii="宋体" w:hAnsi="宋体" w:cs="宋体"/>
          <w:color w:val="auto"/>
          <w:szCs w:val="21"/>
        </w:rPr>
        <w:t>提供了近六个月中任何一个月社会保障资金缴纳记录（专用收据或社会保险缴纳清单）或免缴纳证明（复印件加盖公章）。</w:t>
      </w:r>
    </w:p>
    <w:p>
      <w:pPr>
        <w:numPr>
          <w:ilvl w:val="0"/>
          <w:numId w:val="18"/>
        </w:numPr>
        <w:tabs>
          <w:tab w:val="left" w:pos="993"/>
          <w:tab w:val="left" w:pos="1030"/>
          <w:tab w:val="left" w:pos="8364"/>
        </w:tabs>
        <w:snapToGrid w:val="0"/>
        <w:spacing w:after="120" w:afterLines="50" w:line="360" w:lineRule="auto"/>
        <w:ind w:left="420" w:leftChars="200" w:right="-57" w:rightChars="-27" w:firstLine="499" w:firstLineChars="238"/>
        <w:jc w:val="left"/>
        <w:rPr>
          <w:rFonts w:ascii="宋体" w:hAnsi="宋体" w:cs="宋体"/>
          <w:color w:val="auto"/>
          <w:szCs w:val="21"/>
        </w:rPr>
      </w:pPr>
      <w:r>
        <w:rPr>
          <w:rFonts w:hint="eastAsia" w:ascii="宋体" w:hAnsi="宋体" w:cs="宋体"/>
          <w:color w:val="auto"/>
          <w:szCs w:val="21"/>
        </w:rPr>
        <w:t>不需要缴纳社会保障资金的供应商，应提供免缴纳声明函（格式自拟并加盖公章）。</w:t>
      </w:r>
    </w:p>
    <w:p>
      <w:pPr>
        <w:tabs>
          <w:tab w:val="left" w:pos="5580"/>
        </w:tabs>
        <w:spacing w:before="120" w:line="360" w:lineRule="auto"/>
        <w:ind w:firstLine="480" w:firstLineChars="200"/>
        <w:rPr>
          <w:rFonts w:ascii="宋体" w:hAnsi="宋体" w:cs="宋体"/>
          <w:color w:val="auto"/>
          <w:sz w:val="24"/>
        </w:rPr>
      </w:pPr>
      <w:r>
        <w:rPr>
          <w:rFonts w:hint="eastAsia" w:ascii="宋体" w:hAnsi="宋体" w:cs="宋体"/>
          <w:color w:val="auto"/>
          <w:sz w:val="24"/>
        </w:rPr>
        <w:br w:type="page"/>
      </w:r>
    </w:p>
    <w:p>
      <w:pPr>
        <w:tabs>
          <w:tab w:val="left" w:pos="993"/>
          <w:tab w:val="left" w:pos="1030"/>
          <w:tab w:val="left" w:pos="8364"/>
        </w:tabs>
        <w:snapToGrid w:val="0"/>
        <w:spacing w:after="120" w:afterLines="50"/>
        <w:ind w:left="420" w:right="-57" w:rightChars="-27"/>
        <w:jc w:val="left"/>
        <w:rPr>
          <w:rFonts w:ascii="宋体" w:hAnsi="宋体" w:cs="宋体"/>
          <w:color w:val="auto"/>
          <w:sz w:val="24"/>
        </w:rPr>
      </w:pPr>
    </w:p>
    <w:p>
      <w:pPr>
        <w:pStyle w:val="281"/>
        <w:spacing w:line="360" w:lineRule="auto"/>
        <w:ind w:firstLine="0" w:firstLineChars="0"/>
        <w:jc w:val="left"/>
        <w:outlineLvl w:val="2"/>
        <w:rPr>
          <w:rFonts w:ascii="宋体" w:hAnsi="宋体" w:cs="宋体"/>
          <w:b/>
          <w:color w:val="auto"/>
          <w:sz w:val="24"/>
        </w:rPr>
      </w:pPr>
      <w:bookmarkStart w:id="254" w:name="_Toc3220219"/>
      <w:bookmarkStart w:id="255" w:name="_Toc4433598"/>
      <w:r>
        <w:rPr>
          <w:rFonts w:hint="eastAsia" w:ascii="宋体" w:hAnsi="宋体" w:cs="宋体"/>
          <w:b/>
          <w:color w:val="auto"/>
          <w:sz w:val="24"/>
        </w:rPr>
        <w:t>8--5  具备履行合同所必需的设备和专业技术能力承诺书</w:t>
      </w:r>
      <w:bookmarkEnd w:id="254"/>
      <w:bookmarkEnd w:id="255"/>
    </w:p>
    <w:p>
      <w:pPr>
        <w:spacing w:line="360" w:lineRule="auto"/>
        <w:ind w:firstLine="480"/>
        <w:rPr>
          <w:rFonts w:ascii="宋体" w:hAnsi="宋体" w:cs="宋体"/>
          <w:color w:val="auto"/>
          <w:kern w:val="0"/>
          <w:sz w:val="24"/>
        </w:rPr>
      </w:pPr>
    </w:p>
    <w:p>
      <w:pPr>
        <w:spacing w:line="360" w:lineRule="auto"/>
        <w:ind w:firstLine="480"/>
        <w:rPr>
          <w:rFonts w:ascii="宋体" w:hAnsi="宋体" w:cs="宋体"/>
          <w:color w:val="auto"/>
          <w:kern w:val="0"/>
          <w:sz w:val="24"/>
        </w:rPr>
      </w:pPr>
    </w:p>
    <w:p>
      <w:pPr>
        <w:spacing w:line="360" w:lineRule="auto"/>
        <w:rPr>
          <w:rFonts w:ascii="宋体" w:hAnsi="宋体" w:cs="宋体"/>
          <w:color w:val="auto"/>
          <w:kern w:val="0"/>
          <w:szCs w:val="21"/>
          <w:u w:val="single"/>
        </w:rPr>
      </w:pPr>
      <w:r>
        <w:rPr>
          <w:rFonts w:hint="eastAsia" w:ascii="宋体" w:hAnsi="宋体" w:cs="宋体"/>
          <w:color w:val="auto"/>
          <w:kern w:val="0"/>
          <w:szCs w:val="21"/>
          <w:u w:val="single"/>
        </w:rPr>
        <w:t xml:space="preserve">(采购人名称)      </w:t>
      </w:r>
    </w:p>
    <w:p>
      <w:pPr>
        <w:spacing w:line="360" w:lineRule="auto"/>
        <w:ind w:firstLine="480"/>
        <w:rPr>
          <w:rFonts w:ascii="宋体" w:hAnsi="宋体" w:cs="宋体"/>
          <w:color w:val="auto"/>
          <w:kern w:val="0"/>
          <w:szCs w:val="21"/>
        </w:rPr>
      </w:pPr>
    </w:p>
    <w:p>
      <w:pPr>
        <w:spacing w:line="360" w:lineRule="auto"/>
        <w:ind w:firstLine="480"/>
        <w:rPr>
          <w:rFonts w:ascii="宋体" w:hAnsi="宋体" w:cs="宋体"/>
          <w:color w:val="auto"/>
          <w:kern w:val="0"/>
          <w:szCs w:val="21"/>
        </w:rPr>
      </w:pPr>
      <w:r>
        <w:rPr>
          <w:rFonts w:hint="eastAsia" w:ascii="宋体" w:hAnsi="宋体" w:cs="宋体"/>
          <w:color w:val="auto"/>
          <w:kern w:val="0"/>
          <w:szCs w:val="21"/>
        </w:rPr>
        <w:t>我公司承诺</w:t>
      </w:r>
      <w:r>
        <w:rPr>
          <w:rFonts w:hint="eastAsia" w:ascii="宋体" w:hAnsi="宋体" w:cs="宋体"/>
          <w:color w:val="auto"/>
          <w:szCs w:val="21"/>
        </w:rPr>
        <w:t>具备履行合同所必需的设备和专业技术能力</w:t>
      </w:r>
      <w:r>
        <w:rPr>
          <w:rFonts w:hint="eastAsia" w:ascii="宋体" w:hAnsi="宋体" w:cs="宋体"/>
          <w:color w:val="auto"/>
          <w:kern w:val="0"/>
          <w:szCs w:val="21"/>
        </w:rPr>
        <w:t>。</w:t>
      </w:r>
    </w:p>
    <w:p>
      <w:pPr>
        <w:spacing w:line="360" w:lineRule="auto"/>
        <w:ind w:firstLine="480"/>
        <w:rPr>
          <w:rFonts w:ascii="宋体" w:hAnsi="宋体" w:cs="宋体"/>
          <w:b/>
          <w:color w:val="auto"/>
          <w:szCs w:val="21"/>
        </w:rPr>
      </w:pPr>
    </w:p>
    <w:p>
      <w:pPr>
        <w:spacing w:line="360" w:lineRule="auto"/>
        <w:ind w:firstLine="480"/>
        <w:rPr>
          <w:rFonts w:ascii="宋体" w:hAnsi="宋体" w:cs="宋体"/>
          <w:b/>
          <w:color w:val="auto"/>
          <w:szCs w:val="21"/>
        </w:rPr>
      </w:pPr>
    </w:p>
    <w:p>
      <w:pPr>
        <w:spacing w:before="120" w:beforeLines="50" w:line="360" w:lineRule="auto"/>
        <w:ind w:left="-103" w:leftChars="-49" w:firstLine="539" w:firstLineChars="257"/>
        <w:rPr>
          <w:rFonts w:ascii="宋体" w:hAnsi="宋体" w:cs="宋体"/>
          <w:color w:val="auto"/>
          <w:szCs w:val="21"/>
        </w:rPr>
      </w:pPr>
      <w:r>
        <w:rPr>
          <w:rFonts w:hint="eastAsia" w:ascii="宋体" w:hAnsi="宋体" w:cs="宋体"/>
          <w:color w:val="auto"/>
          <w:szCs w:val="21"/>
        </w:rPr>
        <w:t>供应商：（公章）</w:t>
      </w:r>
    </w:p>
    <w:p>
      <w:pPr>
        <w:spacing w:before="120" w:beforeLines="50" w:line="360" w:lineRule="auto"/>
        <w:ind w:left="460" w:leftChars="219"/>
        <w:rPr>
          <w:rFonts w:ascii="宋体" w:hAnsi="宋体" w:cs="宋体"/>
          <w:color w:val="auto"/>
          <w:szCs w:val="21"/>
        </w:rPr>
      </w:pPr>
      <w:r>
        <w:rPr>
          <w:rFonts w:hint="eastAsia" w:ascii="宋体" w:hAnsi="宋体" w:cs="宋体"/>
          <w:color w:val="auto"/>
          <w:szCs w:val="21"/>
        </w:rPr>
        <w:t>法定代表人或其授权代表：（签字或加盖人名章）</w:t>
      </w:r>
    </w:p>
    <w:p>
      <w:pPr>
        <w:spacing w:before="120" w:beforeLines="50" w:line="360" w:lineRule="auto"/>
        <w:ind w:left="460" w:leftChars="219"/>
        <w:rPr>
          <w:rFonts w:ascii="宋体" w:hAnsi="宋体" w:cs="宋体"/>
          <w:color w:val="auto"/>
          <w:szCs w:val="21"/>
        </w:rPr>
      </w:pPr>
      <w:r>
        <w:rPr>
          <w:rFonts w:hint="eastAsia" w:ascii="宋体" w:hAnsi="宋体" w:cs="宋体"/>
          <w:color w:val="auto"/>
          <w:szCs w:val="21"/>
        </w:rPr>
        <w:t>日期：</w:t>
      </w:r>
    </w:p>
    <w:p>
      <w:pPr>
        <w:widowControl/>
        <w:jc w:val="left"/>
        <w:rPr>
          <w:rFonts w:ascii="宋体" w:hAnsi="宋体" w:cs="宋体"/>
          <w:b/>
          <w:color w:val="auto"/>
          <w:sz w:val="24"/>
        </w:rPr>
      </w:pPr>
      <w:r>
        <w:rPr>
          <w:rFonts w:hint="eastAsia" w:ascii="宋体" w:hAnsi="宋体" w:cs="宋体"/>
          <w:b/>
          <w:color w:val="auto"/>
          <w:sz w:val="24"/>
        </w:rPr>
        <w:br w:type="page"/>
      </w:r>
    </w:p>
    <w:p>
      <w:pPr>
        <w:pStyle w:val="281"/>
        <w:spacing w:line="360" w:lineRule="auto"/>
        <w:ind w:firstLine="0" w:firstLineChars="0"/>
        <w:jc w:val="left"/>
        <w:outlineLvl w:val="2"/>
        <w:rPr>
          <w:rFonts w:ascii="宋体" w:hAnsi="宋体" w:cs="宋体"/>
          <w:b/>
          <w:color w:val="auto"/>
          <w:sz w:val="24"/>
        </w:rPr>
      </w:pPr>
      <w:bookmarkStart w:id="256" w:name="_Toc3220220"/>
      <w:bookmarkStart w:id="257" w:name="_Toc4433599"/>
      <w:r>
        <w:rPr>
          <w:rFonts w:hint="eastAsia" w:ascii="宋体" w:hAnsi="宋体" w:cs="宋体"/>
          <w:b/>
          <w:color w:val="auto"/>
          <w:sz w:val="24"/>
        </w:rPr>
        <w:t>8--6  供应商参加政府采购活动前3年内在经营活动中没有重大违法记录的书面声明（格式）</w:t>
      </w:r>
      <w:bookmarkEnd w:id="256"/>
      <w:bookmarkEnd w:id="257"/>
    </w:p>
    <w:p>
      <w:pPr>
        <w:spacing w:line="360" w:lineRule="auto"/>
        <w:jc w:val="center"/>
        <w:rPr>
          <w:rFonts w:ascii="宋体" w:hAnsi="宋体" w:cs="宋体"/>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声明函</w:t>
      </w:r>
    </w:p>
    <w:p>
      <w:pPr>
        <w:spacing w:line="360" w:lineRule="auto"/>
        <w:jc w:val="center"/>
        <w:rPr>
          <w:rFonts w:ascii="宋体" w:hAnsi="宋体" w:cs="宋体"/>
          <w:color w:val="auto"/>
          <w:sz w:val="24"/>
        </w:rPr>
      </w:pPr>
    </w:p>
    <w:p>
      <w:pPr>
        <w:tabs>
          <w:tab w:val="left" w:pos="5580"/>
        </w:tabs>
        <w:spacing w:before="120" w:line="360" w:lineRule="auto"/>
        <w:rPr>
          <w:rFonts w:ascii="宋体" w:hAnsi="宋体" w:cs="宋体"/>
          <w:color w:val="auto"/>
          <w:szCs w:val="21"/>
        </w:rPr>
      </w:pPr>
      <w:r>
        <w:rPr>
          <w:rFonts w:hint="eastAsia" w:ascii="宋体" w:hAnsi="宋体" w:cs="宋体"/>
          <w:color w:val="auto"/>
          <w:szCs w:val="21"/>
        </w:rPr>
        <w:t>至：</w:t>
      </w:r>
      <w:r>
        <w:rPr>
          <w:rFonts w:hint="eastAsia" w:ascii="宋体" w:hAnsi="宋体" w:cs="宋体"/>
          <w:color w:val="auto"/>
          <w:szCs w:val="21"/>
          <w:u w:val="single"/>
        </w:rPr>
        <w:t xml:space="preserve">   （采购人）  </w:t>
      </w:r>
    </w:p>
    <w:p>
      <w:pPr>
        <w:tabs>
          <w:tab w:val="left" w:pos="5580"/>
        </w:tabs>
        <w:spacing w:before="120" w:line="360" w:lineRule="auto"/>
        <w:ind w:firstLine="420" w:firstLineChars="200"/>
        <w:rPr>
          <w:rFonts w:ascii="宋体" w:hAnsi="宋体" w:cs="宋体"/>
          <w:color w:val="auto"/>
          <w:szCs w:val="21"/>
        </w:rPr>
      </w:pPr>
    </w:p>
    <w:p>
      <w:pPr>
        <w:tabs>
          <w:tab w:val="left" w:pos="5580"/>
        </w:tabs>
        <w:spacing w:before="120" w:line="360" w:lineRule="auto"/>
        <w:ind w:firstLine="420" w:firstLineChars="200"/>
        <w:rPr>
          <w:rFonts w:ascii="宋体" w:hAnsi="宋体" w:cs="宋体"/>
          <w:color w:val="auto"/>
          <w:szCs w:val="21"/>
        </w:rPr>
      </w:pPr>
      <w:r>
        <w:rPr>
          <w:rFonts w:hint="eastAsia" w:ascii="宋体" w:hAnsi="宋体" w:cs="宋体"/>
          <w:color w:val="auto"/>
          <w:szCs w:val="21"/>
        </w:rPr>
        <w:t>我公司郑重承诺在参加本项目政府采购活动前三年内，在经营活动中无重大违法记录。公司未受到行政处罚或责令停业、吊销许可证（或执照）；未处于财产被接管、冻结、破产状况。</w:t>
      </w:r>
    </w:p>
    <w:p>
      <w:pPr>
        <w:tabs>
          <w:tab w:val="left" w:pos="5580"/>
        </w:tabs>
        <w:spacing w:before="120" w:line="360" w:lineRule="auto"/>
        <w:ind w:firstLine="420" w:firstLineChars="200"/>
        <w:rPr>
          <w:rFonts w:ascii="宋体" w:hAnsi="宋体" w:cs="宋体"/>
          <w:color w:val="auto"/>
          <w:szCs w:val="21"/>
        </w:rPr>
      </w:pPr>
      <w:r>
        <w:rPr>
          <w:rFonts w:hint="eastAsia" w:ascii="宋体" w:hAnsi="宋体" w:cs="宋体"/>
          <w:color w:val="auto"/>
          <w:szCs w:val="21"/>
        </w:rPr>
        <w:t>特此声明。</w:t>
      </w:r>
    </w:p>
    <w:p>
      <w:pPr>
        <w:tabs>
          <w:tab w:val="left" w:pos="5580"/>
        </w:tabs>
        <w:spacing w:before="120" w:line="360" w:lineRule="auto"/>
        <w:ind w:firstLine="420" w:firstLineChars="200"/>
        <w:rPr>
          <w:rFonts w:ascii="宋体" w:hAnsi="宋体" w:cs="宋体"/>
          <w:color w:val="auto"/>
          <w:szCs w:val="21"/>
        </w:rPr>
      </w:pPr>
    </w:p>
    <w:p>
      <w:pPr>
        <w:tabs>
          <w:tab w:val="left" w:pos="5580"/>
        </w:tabs>
        <w:spacing w:before="120" w:line="360" w:lineRule="auto"/>
        <w:ind w:firstLine="420" w:firstLineChars="200"/>
        <w:rPr>
          <w:rFonts w:ascii="宋体" w:hAnsi="宋体" w:cs="宋体"/>
          <w:color w:val="auto"/>
          <w:szCs w:val="21"/>
        </w:rPr>
      </w:pPr>
    </w:p>
    <w:p>
      <w:pPr>
        <w:pStyle w:val="40"/>
        <w:spacing w:line="360" w:lineRule="auto"/>
        <w:rPr>
          <w:rFonts w:hAnsi="宋体" w:cs="宋体"/>
          <w:color w:val="auto"/>
        </w:rPr>
      </w:pPr>
      <w:r>
        <w:rPr>
          <w:rFonts w:hint="eastAsia" w:hAnsi="宋体" w:cs="宋体"/>
          <w:color w:val="auto"/>
        </w:rPr>
        <w:t>供应商授权代表（签字或加盖人名章）：____________________________</w:t>
      </w:r>
    </w:p>
    <w:p>
      <w:pPr>
        <w:pStyle w:val="40"/>
        <w:spacing w:line="360" w:lineRule="auto"/>
        <w:rPr>
          <w:rFonts w:hAnsi="宋体" w:cs="宋体"/>
          <w:color w:val="auto"/>
          <w:u w:val="single"/>
        </w:rPr>
      </w:pPr>
      <w:r>
        <w:rPr>
          <w:rFonts w:hint="eastAsia" w:hAnsi="宋体" w:cs="宋体"/>
          <w:color w:val="auto"/>
        </w:rPr>
        <w:t>供应商(盖章)：</w:t>
      </w:r>
      <w:r>
        <w:rPr>
          <w:rFonts w:hint="eastAsia" w:hAnsi="宋体" w:cs="宋体"/>
          <w:color w:val="auto"/>
          <w:u w:val="single"/>
        </w:rPr>
        <w:tab/>
      </w:r>
      <w:r>
        <w:rPr>
          <w:rFonts w:hint="eastAsia" w:hAnsi="宋体" w:cs="宋体"/>
          <w:color w:val="auto"/>
          <w:u w:val="single"/>
        </w:rPr>
        <w:tab/>
      </w:r>
    </w:p>
    <w:p>
      <w:pPr>
        <w:pStyle w:val="40"/>
        <w:spacing w:line="360" w:lineRule="auto"/>
        <w:rPr>
          <w:rFonts w:hAnsi="宋体" w:cs="宋体"/>
          <w:color w:val="auto"/>
          <w:u w:val="single"/>
        </w:rPr>
      </w:pPr>
      <w:r>
        <w:rPr>
          <w:rFonts w:hint="eastAsia" w:hAnsi="宋体" w:cs="宋体"/>
          <w:color w:val="auto"/>
        </w:rPr>
        <w:t>日期：</w:t>
      </w:r>
    </w:p>
    <w:p>
      <w:pPr>
        <w:widowControl/>
        <w:jc w:val="left"/>
        <w:rPr>
          <w:rFonts w:ascii="宋体" w:hAnsi="宋体" w:cs="宋体"/>
          <w:color w:val="auto"/>
          <w:sz w:val="24"/>
          <w:szCs w:val="21"/>
          <w:u w:val="single"/>
        </w:rPr>
      </w:pPr>
      <w:r>
        <w:rPr>
          <w:rFonts w:hint="eastAsia" w:ascii="宋体" w:hAnsi="宋体" w:cs="宋体"/>
          <w:color w:val="auto"/>
          <w:sz w:val="24"/>
          <w:u w:val="single"/>
        </w:rPr>
        <w:br w:type="page"/>
      </w:r>
    </w:p>
    <w:p>
      <w:pPr>
        <w:pStyle w:val="40"/>
        <w:spacing w:line="360" w:lineRule="auto"/>
        <w:rPr>
          <w:rFonts w:hAnsi="宋体" w:cs="宋体"/>
          <w:color w:val="auto"/>
          <w:sz w:val="24"/>
          <w:u w:val="single"/>
        </w:rPr>
      </w:pPr>
    </w:p>
    <w:p>
      <w:pPr>
        <w:pStyle w:val="281"/>
        <w:spacing w:line="360" w:lineRule="auto"/>
        <w:ind w:firstLine="0" w:firstLineChars="0"/>
        <w:jc w:val="left"/>
        <w:outlineLvl w:val="2"/>
        <w:rPr>
          <w:rFonts w:ascii="宋体" w:hAnsi="宋体" w:cs="宋体"/>
          <w:b/>
          <w:color w:val="auto"/>
          <w:sz w:val="24"/>
        </w:rPr>
      </w:pPr>
      <w:bookmarkStart w:id="258" w:name="_Toc4433600"/>
      <w:bookmarkStart w:id="259" w:name="_Toc3220221"/>
      <w:r>
        <w:rPr>
          <w:rFonts w:hint="eastAsia" w:ascii="宋体" w:hAnsi="宋体" w:cs="宋体"/>
          <w:b/>
          <w:color w:val="auto"/>
          <w:sz w:val="24"/>
        </w:rPr>
        <w:t>8--7  供应商控股股东名称、控股公司的名称和存在管理、被管理关系的单位名称说明</w:t>
      </w:r>
      <w:bookmarkEnd w:id="258"/>
      <w:bookmarkEnd w:id="259"/>
    </w:p>
    <w:p>
      <w:pPr>
        <w:spacing w:line="360" w:lineRule="auto"/>
        <w:ind w:firstLine="420"/>
        <w:rPr>
          <w:rFonts w:ascii="宋体" w:hAnsi="宋体" w:cs="宋体"/>
          <w:color w:val="auto"/>
          <w:sz w:val="24"/>
        </w:rPr>
      </w:pPr>
    </w:p>
    <w:p>
      <w:pPr>
        <w:spacing w:line="360" w:lineRule="auto"/>
        <w:rPr>
          <w:rFonts w:ascii="宋体" w:hAnsi="宋体" w:cs="宋体"/>
          <w:color w:val="auto"/>
          <w:szCs w:val="21"/>
        </w:rPr>
      </w:pPr>
      <w:r>
        <w:rPr>
          <w:rFonts w:hint="eastAsia" w:ascii="宋体" w:hAnsi="宋体" w:cs="宋体"/>
          <w:color w:val="auto"/>
          <w:szCs w:val="21"/>
        </w:rPr>
        <w:t>致：</w:t>
      </w:r>
    </w:p>
    <w:p>
      <w:pPr>
        <w:spacing w:line="360" w:lineRule="auto"/>
        <w:ind w:firstLine="426"/>
        <w:rPr>
          <w:rFonts w:ascii="宋体" w:hAnsi="宋体" w:cs="宋体"/>
          <w:color w:val="auto"/>
          <w:szCs w:val="21"/>
        </w:rPr>
      </w:pPr>
      <w:r>
        <w:rPr>
          <w:rFonts w:hint="eastAsia" w:ascii="宋体" w:hAnsi="宋体" w:cs="宋体"/>
          <w:color w:val="auto"/>
          <w:szCs w:val="21"/>
        </w:rPr>
        <w:t>与我方的法定代表人（单位负责人）为同一人的企业如下：</w:t>
      </w:r>
    </w:p>
    <w:p>
      <w:pPr>
        <w:spacing w:line="360" w:lineRule="auto"/>
        <w:ind w:firstLine="426"/>
        <w:rPr>
          <w:rFonts w:ascii="宋体" w:hAnsi="宋体" w:cs="宋体"/>
          <w:color w:val="auto"/>
          <w:szCs w:val="21"/>
        </w:rPr>
      </w:pPr>
    </w:p>
    <w:p>
      <w:pPr>
        <w:spacing w:line="360" w:lineRule="auto"/>
        <w:ind w:firstLine="426"/>
        <w:rPr>
          <w:rFonts w:ascii="宋体" w:hAnsi="宋体" w:cs="宋体"/>
          <w:color w:val="auto"/>
          <w:szCs w:val="21"/>
        </w:rPr>
      </w:pPr>
      <w:r>
        <w:rPr>
          <w:rFonts w:hint="eastAsia" w:ascii="宋体" w:hAnsi="宋体" w:cs="宋体"/>
          <w:color w:val="auto"/>
          <w:szCs w:val="21"/>
        </w:rPr>
        <w:t>我方的控股股东如下：</w:t>
      </w:r>
    </w:p>
    <w:p>
      <w:pPr>
        <w:spacing w:line="360" w:lineRule="auto"/>
        <w:ind w:firstLine="426"/>
        <w:rPr>
          <w:rFonts w:ascii="宋体" w:hAnsi="宋体" w:cs="宋体"/>
          <w:color w:val="auto"/>
          <w:szCs w:val="21"/>
        </w:rPr>
      </w:pPr>
    </w:p>
    <w:p>
      <w:pPr>
        <w:spacing w:line="360" w:lineRule="auto"/>
        <w:ind w:firstLine="426"/>
        <w:rPr>
          <w:rFonts w:ascii="宋体" w:hAnsi="宋体" w:cs="宋体"/>
          <w:color w:val="auto"/>
          <w:szCs w:val="21"/>
        </w:rPr>
      </w:pPr>
      <w:r>
        <w:rPr>
          <w:rFonts w:hint="eastAsia" w:ascii="宋体" w:hAnsi="宋体" w:cs="宋体"/>
          <w:color w:val="auto"/>
          <w:szCs w:val="21"/>
        </w:rPr>
        <w:t>我方直接控股的企业如下：</w:t>
      </w:r>
    </w:p>
    <w:p>
      <w:pPr>
        <w:spacing w:line="360" w:lineRule="auto"/>
        <w:ind w:firstLine="426"/>
        <w:rPr>
          <w:rFonts w:ascii="宋体" w:hAnsi="宋体" w:cs="宋体"/>
          <w:color w:val="auto"/>
          <w:szCs w:val="21"/>
        </w:rPr>
      </w:pPr>
    </w:p>
    <w:p>
      <w:pPr>
        <w:spacing w:line="360" w:lineRule="auto"/>
        <w:ind w:firstLine="426"/>
        <w:rPr>
          <w:rFonts w:ascii="宋体" w:hAnsi="宋体" w:cs="宋体"/>
          <w:color w:val="auto"/>
          <w:szCs w:val="21"/>
        </w:rPr>
      </w:pPr>
      <w:r>
        <w:rPr>
          <w:rFonts w:hint="eastAsia" w:ascii="宋体" w:hAnsi="宋体" w:cs="宋体"/>
          <w:color w:val="auto"/>
          <w:szCs w:val="21"/>
        </w:rPr>
        <w:t>与我方存在管理、被管理关系的单位名称如下：</w:t>
      </w:r>
    </w:p>
    <w:p>
      <w:pPr>
        <w:spacing w:line="360" w:lineRule="auto"/>
        <w:ind w:firstLine="426"/>
        <w:rPr>
          <w:rFonts w:ascii="宋体" w:hAnsi="宋体" w:cs="宋体"/>
          <w:color w:val="auto"/>
          <w:szCs w:val="21"/>
        </w:rPr>
      </w:pPr>
    </w:p>
    <w:p>
      <w:pPr>
        <w:spacing w:line="360" w:lineRule="auto"/>
        <w:ind w:firstLine="426"/>
        <w:rPr>
          <w:rFonts w:ascii="宋体" w:hAnsi="宋体" w:cs="宋体"/>
          <w:color w:val="auto"/>
          <w:szCs w:val="21"/>
        </w:rPr>
      </w:pPr>
    </w:p>
    <w:p>
      <w:pPr>
        <w:spacing w:line="360" w:lineRule="auto"/>
        <w:ind w:firstLine="426"/>
        <w:rPr>
          <w:rFonts w:ascii="宋体" w:hAnsi="宋体" w:cs="宋体"/>
          <w:color w:val="auto"/>
          <w:szCs w:val="21"/>
        </w:rPr>
      </w:pPr>
      <w:r>
        <w:rPr>
          <w:rFonts w:hint="eastAsia" w:ascii="宋体" w:hAnsi="宋体" w:cs="宋体"/>
          <w:color w:val="auto"/>
          <w:szCs w:val="21"/>
        </w:rPr>
        <w:t xml:space="preserve">供应商名称（公章）： </w:t>
      </w:r>
    </w:p>
    <w:p>
      <w:pPr>
        <w:spacing w:line="360" w:lineRule="auto"/>
        <w:ind w:firstLine="420"/>
        <w:rPr>
          <w:rFonts w:ascii="宋体" w:hAnsi="宋体" w:cs="宋体"/>
          <w:color w:val="auto"/>
          <w:szCs w:val="21"/>
        </w:rPr>
      </w:pPr>
      <w:r>
        <w:rPr>
          <w:rFonts w:hint="eastAsia" w:ascii="宋体" w:hAnsi="宋体" w:cs="宋体"/>
          <w:color w:val="auto"/>
          <w:szCs w:val="21"/>
        </w:rPr>
        <w:t>法定代表人或其授权代表（签字或加盖人名章）：</w:t>
      </w:r>
    </w:p>
    <w:p>
      <w:pPr>
        <w:spacing w:line="360" w:lineRule="auto"/>
        <w:ind w:firstLine="420" w:firstLineChars="200"/>
        <w:rPr>
          <w:rFonts w:ascii="宋体" w:hAnsi="宋体" w:cs="宋体"/>
          <w:color w:val="auto"/>
          <w:sz w:val="24"/>
        </w:rPr>
      </w:pPr>
      <w:r>
        <w:rPr>
          <w:rFonts w:hint="eastAsia" w:ascii="宋体" w:hAnsi="宋体" w:cs="宋体"/>
          <w:color w:val="auto"/>
          <w:szCs w:val="21"/>
        </w:rPr>
        <w:t>日    期：     年   月    日</w:t>
      </w:r>
    </w:p>
    <w:p>
      <w:pPr>
        <w:spacing w:line="360" w:lineRule="auto"/>
        <w:ind w:firstLine="480" w:firstLineChars="200"/>
        <w:rPr>
          <w:rFonts w:ascii="宋体" w:hAnsi="宋体" w:cs="宋体"/>
          <w:color w:val="auto"/>
          <w:sz w:val="24"/>
        </w:rPr>
      </w:pPr>
      <w:r>
        <w:rPr>
          <w:rFonts w:hint="eastAsia" w:ascii="宋体" w:hAnsi="宋体" w:cs="宋体"/>
          <w:color w:val="auto"/>
          <w:sz w:val="24"/>
        </w:rPr>
        <w:br w:type="page"/>
      </w:r>
    </w:p>
    <w:p>
      <w:pPr>
        <w:pStyle w:val="281"/>
        <w:spacing w:line="360" w:lineRule="auto"/>
        <w:ind w:firstLine="0" w:firstLineChars="0"/>
        <w:jc w:val="left"/>
        <w:outlineLvl w:val="2"/>
        <w:rPr>
          <w:rFonts w:ascii="宋体" w:hAnsi="宋体" w:cs="宋体"/>
          <w:b/>
          <w:color w:val="auto"/>
          <w:sz w:val="24"/>
        </w:rPr>
      </w:pPr>
      <w:bookmarkStart w:id="260" w:name="_Toc4433601"/>
      <w:bookmarkStart w:id="261" w:name="_Toc3220222"/>
      <w:r>
        <w:rPr>
          <w:rFonts w:hint="eastAsia" w:ascii="宋体" w:hAnsi="宋体" w:cs="宋体"/>
          <w:b/>
          <w:color w:val="auto"/>
          <w:sz w:val="24"/>
        </w:rPr>
        <w:t>8--8  供应商是否属于为本项目提供整体设计、规范编制或者项目管理、监理、检测等服务的供应商声明</w:t>
      </w:r>
      <w:bookmarkEnd w:id="260"/>
      <w:bookmarkEnd w:id="261"/>
    </w:p>
    <w:p>
      <w:pPr>
        <w:spacing w:line="360" w:lineRule="auto"/>
        <w:ind w:firstLine="420"/>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Cs w:val="21"/>
        </w:rPr>
      </w:pPr>
      <w:r>
        <w:rPr>
          <w:rFonts w:hint="eastAsia" w:ascii="宋体" w:hAnsi="宋体" w:cs="宋体"/>
          <w:color w:val="auto"/>
          <w:szCs w:val="21"/>
        </w:rPr>
        <w:t>致：</w:t>
      </w:r>
    </w:p>
    <w:p>
      <w:pPr>
        <w:spacing w:line="360" w:lineRule="auto"/>
        <w:ind w:firstLine="426"/>
        <w:rPr>
          <w:rFonts w:ascii="宋体" w:hAnsi="宋体" w:cs="宋体"/>
          <w:color w:val="auto"/>
          <w:szCs w:val="21"/>
        </w:rPr>
      </w:pPr>
      <w:r>
        <w:rPr>
          <w:rFonts w:hint="eastAsia" w:ascii="宋体" w:hAnsi="宋体" w:cs="宋体"/>
          <w:color w:val="auto"/>
          <w:szCs w:val="21"/>
        </w:rPr>
        <w:t>我方</w:t>
      </w:r>
      <w:r>
        <w:rPr>
          <w:rFonts w:hint="eastAsia" w:ascii="宋体" w:hAnsi="宋体" w:cs="宋体"/>
          <w:iCs/>
          <w:color w:val="auto"/>
          <w:szCs w:val="21"/>
          <w:u w:val="single"/>
        </w:rPr>
        <w:t>属于/不属于</w:t>
      </w:r>
      <w:r>
        <w:rPr>
          <w:rFonts w:hint="eastAsia" w:ascii="宋体" w:hAnsi="宋体" w:cs="宋体"/>
          <w:color w:val="auto"/>
          <w:szCs w:val="21"/>
        </w:rPr>
        <w:t>为本项目提供整体设计、规范编制或者项目管理、监理、检测等服务的供应商。</w:t>
      </w:r>
    </w:p>
    <w:p>
      <w:pPr>
        <w:spacing w:line="360" w:lineRule="auto"/>
        <w:ind w:firstLine="426"/>
        <w:rPr>
          <w:rFonts w:ascii="宋体" w:hAnsi="宋体" w:cs="宋体"/>
          <w:color w:val="auto"/>
          <w:szCs w:val="21"/>
        </w:rPr>
      </w:pPr>
    </w:p>
    <w:p>
      <w:pPr>
        <w:spacing w:line="360" w:lineRule="auto"/>
        <w:ind w:firstLine="426"/>
        <w:rPr>
          <w:rFonts w:ascii="宋体" w:hAnsi="宋体" w:cs="宋体"/>
          <w:color w:val="auto"/>
          <w:szCs w:val="21"/>
        </w:rPr>
      </w:pPr>
    </w:p>
    <w:p>
      <w:pPr>
        <w:spacing w:line="360" w:lineRule="auto"/>
        <w:ind w:firstLine="426"/>
        <w:rPr>
          <w:rFonts w:ascii="宋体" w:hAnsi="宋体" w:cs="宋体"/>
          <w:color w:val="auto"/>
          <w:szCs w:val="21"/>
        </w:rPr>
      </w:pPr>
      <w:r>
        <w:rPr>
          <w:rFonts w:hint="eastAsia" w:ascii="宋体" w:hAnsi="宋体" w:cs="宋体"/>
          <w:color w:val="auto"/>
          <w:szCs w:val="21"/>
        </w:rPr>
        <w:t xml:space="preserve">供应商名称（公章）： </w:t>
      </w:r>
    </w:p>
    <w:p>
      <w:pPr>
        <w:spacing w:line="360" w:lineRule="auto"/>
        <w:ind w:firstLine="420"/>
        <w:rPr>
          <w:rFonts w:ascii="宋体" w:hAnsi="宋体" w:cs="宋体"/>
          <w:color w:val="auto"/>
          <w:szCs w:val="21"/>
        </w:rPr>
      </w:pPr>
      <w:r>
        <w:rPr>
          <w:rFonts w:hint="eastAsia" w:ascii="宋体" w:hAnsi="宋体" w:cs="宋体"/>
          <w:color w:val="auto"/>
          <w:szCs w:val="21"/>
        </w:rPr>
        <w:t>法定代表人或其授权代表（签字或加盖人名章）：</w:t>
      </w:r>
    </w:p>
    <w:p>
      <w:pPr>
        <w:spacing w:line="360" w:lineRule="auto"/>
        <w:ind w:firstLine="420" w:firstLineChars="200"/>
        <w:rPr>
          <w:rFonts w:ascii="宋体" w:hAnsi="宋体" w:cs="宋体"/>
          <w:color w:val="auto"/>
          <w:szCs w:val="21"/>
        </w:rPr>
      </w:pPr>
      <w:r>
        <w:rPr>
          <w:rFonts w:hint="eastAsia" w:ascii="宋体" w:hAnsi="宋体" w:cs="宋体"/>
          <w:color w:val="auto"/>
          <w:szCs w:val="21"/>
        </w:rPr>
        <w:t>日    期：     年   月    日</w:t>
      </w:r>
    </w:p>
    <w:p>
      <w:pPr>
        <w:spacing w:line="360" w:lineRule="auto"/>
        <w:rPr>
          <w:rFonts w:ascii="宋体" w:hAnsi="宋体" w:cs="宋体"/>
          <w:color w:val="auto"/>
          <w:sz w:val="24"/>
        </w:rPr>
      </w:pPr>
    </w:p>
    <w:p>
      <w:pPr>
        <w:rPr>
          <w:rFonts w:ascii="宋体" w:hAnsi="宋体" w:cs="宋体"/>
          <w:color w:val="auto"/>
        </w:rPr>
      </w:pPr>
    </w:p>
    <w:p>
      <w:pPr>
        <w:pStyle w:val="29"/>
        <w:rPr>
          <w:rFonts w:ascii="宋体" w:hAnsi="宋体" w:cs="宋体"/>
          <w:color w:val="auto"/>
        </w:rPr>
        <w:sectPr>
          <w:headerReference r:id="rId5" w:type="default"/>
          <w:footerReference r:id="rId6" w:type="default"/>
          <w:pgSz w:w="11906" w:h="16838"/>
          <w:pgMar w:top="1247" w:right="1247" w:bottom="1247" w:left="1701" w:header="851" w:footer="992" w:gutter="0"/>
          <w:cols w:space="720" w:num="1"/>
          <w:docGrid w:linePitch="312" w:charSpace="0"/>
        </w:sectPr>
      </w:pPr>
      <w:r>
        <w:rPr>
          <w:rFonts w:hint="eastAsia" w:ascii="宋体" w:hAnsi="宋体" w:cs="宋体"/>
          <w:color w:val="auto"/>
          <w:sz w:val="22"/>
          <w:szCs w:val="22"/>
        </w:rPr>
        <w:t>备注：供应商应按实际情况在内选择填写（</w:t>
      </w:r>
      <w:r>
        <w:rPr>
          <w:rFonts w:hint="eastAsia" w:ascii="宋体" w:hAnsi="宋体" w:cs="宋体"/>
          <w:color w:val="auto"/>
          <w:sz w:val="22"/>
          <w:szCs w:val="22"/>
          <w:u w:val="single"/>
        </w:rPr>
        <w:t>属于）</w:t>
      </w:r>
      <w:r>
        <w:rPr>
          <w:rFonts w:hint="eastAsia" w:ascii="宋体" w:hAnsi="宋体" w:cs="宋体"/>
          <w:color w:val="auto"/>
          <w:sz w:val="22"/>
          <w:szCs w:val="22"/>
        </w:rPr>
        <w:t>或（</w:t>
      </w:r>
      <w:r>
        <w:rPr>
          <w:rFonts w:hint="eastAsia" w:ascii="宋体" w:hAnsi="宋体" w:cs="宋体"/>
          <w:color w:val="auto"/>
          <w:sz w:val="22"/>
          <w:szCs w:val="22"/>
          <w:u w:val="single"/>
        </w:rPr>
        <w:t>不属于</w:t>
      </w:r>
      <w:r>
        <w:rPr>
          <w:rFonts w:hint="eastAsia" w:ascii="宋体" w:hAnsi="宋体" w:cs="宋体"/>
          <w:color w:val="auto"/>
          <w:sz w:val="22"/>
          <w:szCs w:val="22"/>
        </w:rPr>
        <w:t>）为本项目提供整体设计、规范编制或者项目管理、监理、检测等服务的供应商。如为</w:t>
      </w:r>
      <w:r>
        <w:rPr>
          <w:rFonts w:hint="eastAsia" w:ascii="宋体" w:hAnsi="宋体" w:cs="宋体"/>
          <w:color w:val="auto"/>
          <w:sz w:val="22"/>
          <w:szCs w:val="22"/>
          <w:u w:val="single"/>
        </w:rPr>
        <w:t>属于</w:t>
      </w:r>
      <w:r>
        <w:rPr>
          <w:rFonts w:hint="eastAsia" w:ascii="宋体" w:hAnsi="宋体" w:cs="宋体"/>
          <w:color w:val="auto"/>
          <w:sz w:val="22"/>
          <w:szCs w:val="22"/>
        </w:rPr>
        <w:t>，其响应文件将不能通过资格审查，详见第三章 评审办法和标准 附表一 资格审查表。</w:t>
      </w:r>
    </w:p>
    <w:p>
      <w:pPr>
        <w:widowControl/>
        <w:jc w:val="left"/>
        <w:rPr>
          <w:rFonts w:ascii="宋体" w:hAnsi="宋体" w:cs="宋体"/>
          <w:b/>
          <w:bCs/>
          <w:color w:val="auto"/>
          <w:sz w:val="24"/>
        </w:rPr>
      </w:pPr>
    </w:p>
    <w:p>
      <w:pPr>
        <w:pStyle w:val="281"/>
        <w:numPr>
          <w:ilvl w:val="0"/>
          <w:numId w:val="19"/>
        </w:numPr>
        <w:spacing w:line="360" w:lineRule="auto"/>
        <w:ind w:firstLineChars="0"/>
        <w:outlineLvl w:val="1"/>
        <w:rPr>
          <w:rFonts w:ascii="宋体" w:hAnsi="宋体" w:cs="宋体"/>
          <w:b/>
          <w:color w:val="auto"/>
          <w:sz w:val="24"/>
        </w:rPr>
      </w:pPr>
      <w:bookmarkStart w:id="262" w:name="_Toc4433602"/>
      <w:bookmarkStart w:id="263" w:name="_Toc3220223"/>
      <w:bookmarkStart w:id="264" w:name="_Toc179"/>
      <w:r>
        <w:rPr>
          <w:rFonts w:hint="eastAsia" w:ascii="宋体" w:hAnsi="宋体" w:cs="宋体"/>
          <w:b/>
          <w:color w:val="auto"/>
          <w:sz w:val="24"/>
        </w:rPr>
        <w:t>供应商业绩一览表</w:t>
      </w:r>
      <w:bookmarkEnd w:id="262"/>
      <w:bookmarkEnd w:id="263"/>
      <w:bookmarkEnd w:id="264"/>
    </w:p>
    <w:p>
      <w:pPr>
        <w:jc w:val="center"/>
        <w:rPr>
          <w:rFonts w:ascii="宋体" w:hAnsi="宋体" w:cs="宋体"/>
          <w:b/>
          <w:color w:val="auto"/>
          <w:sz w:val="24"/>
        </w:rPr>
      </w:pPr>
    </w:p>
    <w:tbl>
      <w:tblPr>
        <w:tblStyle w:val="74"/>
        <w:tblW w:w="120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2271"/>
        <w:gridCol w:w="1701"/>
        <w:gridCol w:w="1454"/>
        <w:gridCol w:w="2234"/>
        <w:gridCol w:w="2104"/>
        <w:gridCol w:w="12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1008" w:type="dxa"/>
            <w:tcBorders>
              <w:top w:val="single" w:color="auto" w:sz="12" w:space="0"/>
              <w:left w:val="single" w:color="auto" w:sz="12" w:space="0"/>
              <w:bottom w:val="single" w:color="auto" w:sz="6" w:space="0"/>
              <w:right w:val="single" w:color="auto" w:sz="6" w:space="0"/>
            </w:tcBorders>
            <w:vAlign w:val="center"/>
          </w:tcPr>
          <w:p>
            <w:pPr>
              <w:pStyle w:val="265"/>
              <w:kinsoku w:val="0"/>
              <w:overflowPunct w:val="0"/>
              <w:jc w:val="center"/>
              <w:rPr>
                <w:rFonts w:ascii="宋体" w:hAnsi="宋体" w:cs="宋体"/>
                <w:color w:val="auto"/>
                <w:szCs w:val="21"/>
              </w:rPr>
            </w:pPr>
            <w:r>
              <w:rPr>
                <w:rFonts w:hint="eastAsia" w:ascii="宋体" w:hAnsi="宋体" w:cs="宋体"/>
                <w:color w:val="auto"/>
                <w:szCs w:val="21"/>
              </w:rPr>
              <w:t>签订合同时间</w:t>
            </w:r>
          </w:p>
        </w:tc>
        <w:tc>
          <w:tcPr>
            <w:tcW w:w="2271"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cs="宋体"/>
                <w:color w:val="auto"/>
                <w:szCs w:val="21"/>
              </w:rPr>
            </w:pPr>
            <w:r>
              <w:rPr>
                <w:rFonts w:hint="eastAsia" w:ascii="宋体" w:hAnsi="宋体" w:cs="宋体"/>
                <w:color w:val="auto"/>
                <w:szCs w:val="21"/>
              </w:rPr>
              <w:t>同类项目名称</w:t>
            </w:r>
          </w:p>
        </w:tc>
        <w:tc>
          <w:tcPr>
            <w:tcW w:w="1701"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cs="宋体"/>
                <w:color w:val="auto"/>
                <w:szCs w:val="21"/>
              </w:rPr>
            </w:pPr>
            <w:r>
              <w:rPr>
                <w:rFonts w:hint="eastAsia" w:ascii="宋体" w:hAnsi="宋体" w:cs="宋体"/>
                <w:color w:val="auto"/>
                <w:szCs w:val="21"/>
              </w:rPr>
              <w:t>项目概况</w:t>
            </w:r>
          </w:p>
        </w:tc>
        <w:tc>
          <w:tcPr>
            <w:tcW w:w="1454"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cs="宋体"/>
                <w:color w:val="auto"/>
                <w:szCs w:val="21"/>
              </w:rPr>
            </w:pPr>
            <w:r>
              <w:rPr>
                <w:rFonts w:hint="eastAsia" w:ascii="宋体" w:hAnsi="宋体" w:cs="宋体"/>
                <w:color w:val="auto"/>
                <w:szCs w:val="21"/>
              </w:rPr>
              <w:t>合同总价</w:t>
            </w:r>
          </w:p>
        </w:tc>
        <w:tc>
          <w:tcPr>
            <w:tcW w:w="2234"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cs="宋体"/>
                <w:color w:val="auto"/>
                <w:szCs w:val="21"/>
              </w:rPr>
            </w:pPr>
            <w:r>
              <w:rPr>
                <w:rFonts w:hint="eastAsia" w:ascii="宋体" w:hAnsi="宋体" w:cs="宋体"/>
                <w:color w:val="auto"/>
                <w:szCs w:val="21"/>
              </w:rPr>
              <w:t>合同单位名称</w:t>
            </w:r>
          </w:p>
        </w:tc>
        <w:tc>
          <w:tcPr>
            <w:tcW w:w="2104"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cs="宋体"/>
                <w:color w:val="auto"/>
                <w:szCs w:val="21"/>
              </w:rPr>
            </w:pPr>
            <w:r>
              <w:rPr>
                <w:rFonts w:hint="eastAsia" w:ascii="宋体" w:hAnsi="宋体" w:cs="宋体"/>
                <w:color w:val="auto"/>
                <w:szCs w:val="21"/>
              </w:rPr>
              <w:t>合同单位联系人及电话</w:t>
            </w:r>
          </w:p>
        </w:tc>
        <w:tc>
          <w:tcPr>
            <w:tcW w:w="1245"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cs="宋体"/>
                <w:color w:val="auto"/>
                <w:szCs w:val="21"/>
              </w:rPr>
            </w:pPr>
            <w:r>
              <w:rPr>
                <w:rFonts w:hint="eastAsia" w:ascii="宋体" w:hAnsi="宋体" w:cs="宋体"/>
                <w:color w:val="auto"/>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auto"/>
                <w:szCs w:val="21"/>
              </w:rPr>
            </w:pPr>
          </w:p>
        </w:tc>
        <w:tc>
          <w:tcPr>
            <w:tcW w:w="227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rPr>
            </w:pPr>
          </w:p>
        </w:tc>
        <w:tc>
          <w:tcPr>
            <w:tcW w:w="145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rPr>
            </w:pPr>
          </w:p>
        </w:tc>
        <w:tc>
          <w:tcPr>
            <w:tcW w:w="22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rPr>
            </w:pPr>
          </w:p>
        </w:tc>
        <w:tc>
          <w:tcPr>
            <w:tcW w:w="21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rPr>
            </w:pPr>
          </w:p>
        </w:tc>
        <w:tc>
          <w:tcPr>
            <w:tcW w:w="124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auto"/>
                <w:szCs w:val="21"/>
              </w:rPr>
            </w:pPr>
          </w:p>
        </w:tc>
        <w:tc>
          <w:tcPr>
            <w:tcW w:w="227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rPr>
            </w:pPr>
          </w:p>
        </w:tc>
        <w:tc>
          <w:tcPr>
            <w:tcW w:w="145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rPr>
            </w:pPr>
          </w:p>
        </w:tc>
        <w:tc>
          <w:tcPr>
            <w:tcW w:w="22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rPr>
            </w:pPr>
          </w:p>
        </w:tc>
        <w:tc>
          <w:tcPr>
            <w:tcW w:w="21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rPr>
            </w:pPr>
          </w:p>
        </w:tc>
        <w:tc>
          <w:tcPr>
            <w:tcW w:w="124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auto"/>
                <w:szCs w:val="21"/>
              </w:rPr>
            </w:pPr>
          </w:p>
        </w:tc>
        <w:tc>
          <w:tcPr>
            <w:tcW w:w="227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rPr>
            </w:pPr>
          </w:p>
        </w:tc>
        <w:tc>
          <w:tcPr>
            <w:tcW w:w="145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rPr>
            </w:pPr>
          </w:p>
        </w:tc>
        <w:tc>
          <w:tcPr>
            <w:tcW w:w="22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rPr>
            </w:pPr>
          </w:p>
        </w:tc>
        <w:tc>
          <w:tcPr>
            <w:tcW w:w="21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rPr>
            </w:pPr>
          </w:p>
        </w:tc>
        <w:tc>
          <w:tcPr>
            <w:tcW w:w="124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auto"/>
                <w:szCs w:val="21"/>
              </w:rPr>
            </w:pPr>
          </w:p>
        </w:tc>
        <w:tc>
          <w:tcPr>
            <w:tcW w:w="227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rPr>
            </w:pPr>
          </w:p>
        </w:tc>
        <w:tc>
          <w:tcPr>
            <w:tcW w:w="145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rPr>
            </w:pPr>
          </w:p>
        </w:tc>
        <w:tc>
          <w:tcPr>
            <w:tcW w:w="22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rPr>
            </w:pPr>
          </w:p>
        </w:tc>
        <w:tc>
          <w:tcPr>
            <w:tcW w:w="21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rPr>
            </w:pPr>
          </w:p>
        </w:tc>
        <w:tc>
          <w:tcPr>
            <w:tcW w:w="124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宋体"/>
                <w:color w:val="auto"/>
                <w:szCs w:val="21"/>
              </w:rPr>
            </w:pPr>
          </w:p>
        </w:tc>
        <w:tc>
          <w:tcPr>
            <w:tcW w:w="227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rPr>
            </w:pPr>
          </w:p>
        </w:tc>
        <w:tc>
          <w:tcPr>
            <w:tcW w:w="145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rPr>
            </w:pPr>
          </w:p>
        </w:tc>
        <w:tc>
          <w:tcPr>
            <w:tcW w:w="22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rPr>
            </w:pPr>
          </w:p>
        </w:tc>
        <w:tc>
          <w:tcPr>
            <w:tcW w:w="21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auto"/>
                <w:szCs w:val="21"/>
              </w:rPr>
            </w:pPr>
          </w:p>
        </w:tc>
        <w:tc>
          <w:tcPr>
            <w:tcW w:w="1245"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cs="宋体"/>
                <w:color w:val="auto"/>
                <w:szCs w:val="21"/>
              </w:rPr>
            </w:pPr>
          </w:p>
        </w:tc>
        <w:tc>
          <w:tcPr>
            <w:tcW w:w="2271"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auto"/>
                <w:szCs w:val="21"/>
              </w:rPr>
            </w:pPr>
          </w:p>
        </w:tc>
        <w:tc>
          <w:tcPr>
            <w:tcW w:w="1701"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auto"/>
                <w:szCs w:val="21"/>
              </w:rPr>
            </w:pPr>
          </w:p>
        </w:tc>
        <w:tc>
          <w:tcPr>
            <w:tcW w:w="1454"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auto"/>
                <w:szCs w:val="21"/>
              </w:rPr>
            </w:pPr>
          </w:p>
        </w:tc>
        <w:tc>
          <w:tcPr>
            <w:tcW w:w="2234"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auto"/>
                <w:szCs w:val="21"/>
              </w:rPr>
            </w:pPr>
          </w:p>
        </w:tc>
        <w:tc>
          <w:tcPr>
            <w:tcW w:w="2104"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s="宋体"/>
                <w:color w:val="auto"/>
                <w:szCs w:val="21"/>
              </w:rPr>
            </w:pPr>
          </w:p>
        </w:tc>
        <w:tc>
          <w:tcPr>
            <w:tcW w:w="1245" w:type="dxa"/>
            <w:tcBorders>
              <w:top w:val="single" w:color="auto" w:sz="6" w:space="0"/>
              <w:left w:val="single" w:color="auto" w:sz="6" w:space="0"/>
              <w:bottom w:val="single" w:color="auto" w:sz="12" w:space="0"/>
              <w:right w:val="single" w:color="auto" w:sz="12" w:space="0"/>
            </w:tcBorders>
            <w:vAlign w:val="center"/>
          </w:tcPr>
          <w:p>
            <w:pPr>
              <w:jc w:val="center"/>
              <w:rPr>
                <w:rFonts w:ascii="宋体" w:hAnsi="宋体" w:cs="宋体"/>
                <w:color w:val="auto"/>
                <w:szCs w:val="21"/>
              </w:rPr>
            </w:pPr>
          </w:p>
        </w:tc>
      </w:tr>
    </w:tbl>
    <w:p>
      <w:pPr>
        <w:rPr>
          <w:rFonts w:ascii="宋体" w:hAnsi="宋体" w:cs="宋体"/>
          <w:color w:val="auto"/>
        </w:rPr>
      </w:pPr>
    </w:p>
    <w:p>
      <w:pPr>
        <w:autoSpaceDE w:val="0"/>
        <w:autoSpaceDN w:val="0"/>
        <w:ind w:left="673" w:leftChars="250" w:hanging="148" w:hangingChars="82"/>
        <w:rPr>
          <w:rFonts w:ascii="宋体" w:hAnsi="宋体" w:cs="宋体"/>
          <w:color w:val="auto"/>
          <w:szCs w:val="21"/>
        </w:rPr>
      </w:pPr>
      <w:r>
        <w:rPr>
          <w:rFonts w:hint="eastAsia" w:ascii="宋体" w:hAnsi="宋体" w:cs="宋体"/>
          <w:b/>
          <w:color w:val="auto"/>
          <w:sz w:val="18"/>
          <w:szCs w:val="18"/>
        </w:rPr>
        <w:t>注：</w:t>
      </w:r>
    </w:p>
    <w:p>
      <w:pPr>
        <w:numPr>
          <w:ilvl w:val="0"/>
          <w:numId w:val="20"/>
        </w:numPr>
        <w:autoSpaceDE w:val="0"/>
        <w:autoSpaceDN w:val="0"/>
        <w:adjustRightInd w:val="0"/>
        <w:spacing w:line="360" w:lineRule="auto"/>
        <w:rPr>
          <w:rFonts w:ascii="宋体" w:hAnsi="宋体" w:cs="宋体"/>
          <w:color w:val="auto"/>
          <w:sz w:val="18"/>
          <w:szCs w:val="18"/>
        </w:rPr>
      </w:pPr>
      <w:r>
        <w:rPr>
          <w:rFonts w:hint="eastAsia" w:ascii="宋体" w:hAnsi="宋体" w:cs="宋体"/>
          <w:color w:val="auto"/>
          <w:sz w:val="18"/>
          <w:szCs w:val="18"/>
        </w:rPr>
        <w:t>供应商须提供相应的证明文件（供应商需提供合同复印件待证明材料）</w:t>
      </w:r>
    </w:p>
    <w:p>
      <w:pPr>
        <w:numPr>
          <w:ilvl w:val="0"/>
          <w:numId w:val="20"/>
        </w:numPr>
        <w:autoSpaceDE w:val="0"/>
        <w:autoSpaceDN w:val="0"/>
        <w:adjustRightInd w:val="0"/>
        <w:spacing w:line="360" w:lineRule="auto"/>
        <w:rPr>
          <w:rFonts w:ascii="宋体" w:hAnsi="宋体" w:cs="宋体"/>
          <w:color w:val="auto"/>
          <w:sz w:val="18"/>
          <w:szCs w:val="18"/>
        </w:rPr>
      </w:pPr>
      <w:r>
        <w:rPr>
          <w:rFonts w:hint="eastAsia" w:ascii="宋体" w:hAnsi="宋体" w:cs="宋体"/>
          <w:color w:val="auto"/>
          <w:sz w:val="18"/>
          <w:szCs w:val="18"/>
        </w:rPr>
        <w:t>正在执行的类似业绩需标明执行状态，供应商需在备注栏填写合同执行的状态。</w:t>
      </w:r>
    </w:p>
    <w:p>
      <w:pPr>
        <w:spacing w:before="120" w:beforeLines="50" w:line="360" w:lineRule="auto"/>
        <w:ind w:left="-103" w:leftChars="-49" w:firstLine="574" w:firstLineChars="319"/>
        <w:rPr>
          <w:rFonts w:ascii="宋体" w:hAnsi="宋体" w:cs="宋体"/>
          <w:color w:val="auto"/>
          <w:sz w:val="18"/>
          <w:szCs w:val="21"/>
        </w:rPr>
      </w:pPr>
      <w:r>
        <w:rPr>
          <w:rFonts w:hint="eastAsia" w:ascii="宋体" w:hAnsi="宋体" w:cs="宋体"/>
          <w:color w:val="auto"/>
          <w:sz w:val="18"/>
          <w:szCs w:val="21"/>
        </w:rPr>
        <w:t>供应商：（公章）</w:t>
      </w:r>
    </w:p>
    <w:p>
      <w:pPr>
        <w:spacing w:before="120" w:beforeLines="50" w:line="360" w:lineRule="auto"/>
        <w:ind w:left="-103" w:leftChars="-49" w:firstLine="574" w:firstLineChars="319"/>
        <w:rPr>
          <w:rFonts w:ascii="宋体" w:hAnsi="宋体" w:cs="宋体"/>
          <w:color w:val="auto"/>
          <w:sz w:val="18"/>
          <w:szCs w:val="18"/>
        </w:rPr>
      </w:pPr>
      <w:r>
        <w:rPr>
          <w:rFonts w:hint="eastAsia" w:ascii="宋体" w:hAnsi="宋体" w:cs="宋体"/>
          <w:color w:val="auto"/>
          <w:sz w:val="18"/>
          <w:szCs w:val="18"/>
        </w:rPr>
        <w:t>法定代表人或其授权代表：（签字或加盖人名章）</w:t>
      </w:r>
    </w:p>
    <w:p>
      <w:pPr>
        <w:spacing w:before="120" w:beforeLines="50" w:line="360" w:lineRule="auto"/>
        <w:ind w:left="-103" w:leftChars="-49" w:firstLine="574" w:firstLineChars="319"/>
        <w:rPr>
          <w:rFonts w:ascii="宋体" w:hAnsi="宋体" w:cs="宋体"/>
          <w:color w:val="auto"/>
          <w:sz w:val="18"/>
          <w:szCs w:val="21"/>
        </w:rPr>
      </w:pPr>
      <w:r>
        <w:rPr>
          <w:rFonts w:hint="eastAsia" w:ascii="宋体" w:hAnsi="宋体" w:cs="宋体"/>
          <w:color w:val="auto"/>
          <w:sz w:val="18"/>
          <w:szCs w:val="18"/>
        </w:rPr>
        <w:t>日期：年月日</w:t>
      </w:r>
    </w:p>
    <w:p>
      <w:pPr>
        <w:pStyle w:val="57"/>
        <w:spacing w:before="120"/>
        <w:rPr>
          <w:rFonts w:ascii="宋体" w:hAnsi="宋体" w:cs="宋体"/>
          <w:color w:val="auto"/>
          <w:sz w:val="21"/>
          <w:szCs w:val="21"/>
        </w:rPr>
      </w:pPr>
    </w:p>
    <w:p>
      <w:pPr>
        <w:spacing w:before="120" w:beforeLines="50"/>
        <w:ind w:left="-84" w:leftChars="-40" w:firstLine="525" w:firstLineChars="250"/>
        <w:rPr>
          <w:rFonts w:ascii="宋体" w:hAnsi="宋体" w:cs="宋体"/>
          <w:color w:val="auto"/>
        </w:rPr>
        <w:sectPr>
          <w:headerReference r:id="rId7" w:type="default"/>
          <w:footerReference r:id="rId8" w:type="default"/>
          <w:pgSz w:w="16838" w:h="11906" w:orient="landscape"/>
          <w:pgMar w:top="1701" w:right="1247" w:bottom="1247" w:left="1247" w:header="851" w:footer="992" w:gutter="0"/>
          <w:cols w:space="720" w:num="1"/>
          <w:docGrid w:linePitch="312" w:charSpace="0"/>
        </w:sectPr>
      </w:pPr>
    </w:p>
    <w:p>
      <w:pPr>
        <w:pStyle w:val="40"/>
        <w:snapToGrid w:val="0"/>
        <w:spacing w:before="156" w:beforeLines="50"/>
        <w:jc w:val="center"/>
        <w:rPr>
          <w:rFonts w:hAnsi="宋体" w:cs="宋体"/>
          <w:color w:val="auto"/>
          <w:sz w:val="24"/>
          <w:szCs w:val="24"/>
        </w:rPr>
      </w:pPr>
    </w:p>
    <w:p>
      <w:pPr>
        <w:pStyle w:val="281"/>
        <w:numPr>
          <w:ilvl w:val="0"/>
          <w:numId w:val="21"/>
        </w:numPr>
        <w:spacing w:line="360" w:lineRule="auto"/>
        <w:ind w:hanging="1980" w:firstLineChars="0"/>
        <w:outlineLvl w:val="1"/>
        <w:rPr>
          <w:rFonts w:ascii="宋体" w:hAnsi="宋体" w:cs="宋体"/>
          <w:b/>
          <w:color w:val="auto"/>
          <w:sz w:val="24"/>
        </w:rPr>
      </w:pPr>
      <w:bookmarkStart w:id="265" w:name="_Toc15006"/>
      <w:bookmarkStart w:id="266" w:name="_Toc3220224"/>
      <w:bookmarkStart w:id="267" w:name="_Toc4433603"/>
      <w:r>
        <w:rPr>
          <w:rFonts w:hint="eastAsia" w:ascii="宋体" w:hAnsi="宋体" w:cs="宋体"/>
          <w:b/>
          <w:color w:val="auto"/>
          <w:sz w:val="24"/>
        </w:rPr>
        <w:t>小微企业、监狱企业、残疾人福利单位的声明函或证明材料</w:t>
      </w:r>
      <w:bookmarkEnd w:id="265"/>
      <w:bookmarkEnd w:id="266"/>
      <w:bookmarkEnd w:id="267"/>
    </w:p>
    <w:p>
      <w:pPr>
        <w:pStyle w:val="40"/>
        <w:snapToGrid w:val="0"/>
        <w:spacing w:before="156" w:beforeLines="50" w:line="360" w:lineRule="auto"/>
        <w:rPr>
          <w:rFonts w:hAnsi="宋体" w:cs="宋体"/>
          <w:color w:val="auto"/>
          <w:sz w:val="24"/>
          <w:szCs w:val="24"/>
        </w:rPr>
      </w:pPr>
    </w:p>
    <w:p>
      <w:pPr>
        <w:pStyle w:val="29"/>
        <w:spacing w:line="480" w:lineRule="auto"/>
        <w:ind w:right="415" w:firstLine="640"/>
        <w:jc w:val="center"/>
        <w:rPr>
          <w:rFonts w:ascii="宋体" w:hAnsi="宋体" w:cs="宋体"/>
          <w:b/>
          <w:bCs/>
          <w:color w:val="auto"/>
          <w:spacing w:val="-2"/>
          <w:sz w:val="21"/>
          <w:szCs w:val="21"/>
        </w:rPr>
      </w:pPr>
      <w:bookmarkStart w:id="268" w:name="_Toc26394"/>
      <w:bookmarkStart w:id="269" w:name="_Toc22858"/>
      <w:bookmarkStart w:id="270" w:name="_Toc8846"/>
      <w:bookmarkStart w:id="271" w:name="_Toc13843"/>
      <w:bookmarkStart w:id="272" w:name="_Toc24338"/>
      <w:bookmarkStart w:id="273" w:name="_Toc21598"/>
      <w:r>
        <w:rPr>
          <w:rFonts w:hint="eastAsia" w:ascii="宋体" w:hAnsi="宋体" w:cs="宋体"/>
          <w:b/>
          <w:bCs/>
          <w:color w:val="auto"/>
          <w:sz w:val="21"/>
          <w:szCs w:val="21"/>
        </w:rPr>
        <w:t>（一）中小企业声明函</w:t>
      </w:r>
      <w:bookmarkEnd w:id="268"/>
      <w:bookmarkEnd w:id="269"/>
      <w:bookmarkEnd w:id="270"/>
    </w:p>
    <w:p>
      <w:pPr>
        <w:pStyle w:val="29"/>
        <w:spacing w:line="480" w:lineRule="auto"/>
        <w:ind w:right="415" w:firstLine="640"/>
        <w:rPr>
          <w:rFonts w:ascii="宋体" w:hAnsi="宋体" w:cs="宋体"/>
          <w:color w:val="auto"/>
          <w:sz w:val="21"/>
          <w:szCs w:val="21"/>
        </w:rPr>
      </w:pPr>
      <w:r>
        <w:rPr>
          <w:rFonts w:hint="eastAsia" w:ascii="宋体" w:hAnsi="宋体" w:cs="宋体"/>
          <w:color w:val="auto"/>
          <w:spacing w:val="-2"/>
          <w:sz w:val="21"/>
          <w:szCs w:val="21"/>
        </w:rPr>
        <w:t>本公司</w:t>
      </w:r>
      <w:r>
        <w:rPr>
          <w:rFonts w:hint="eastAsia" w:ascii="宋体" w:hAnsi="宋体" w:cs="宋体"/>
          <w:color w:val="auto"/>
          <w:sz w:val="21"/>
          <w:szCs w:val="21"/>
        </w:rPr>
        <w:t>（联合体</w:t>
      </w:r>
      <w:r>
        <w:rPr>
          <w:rFonts w:hint="eastAsia" w:ascii="宋体" w:hAnsi="宋体" w:cs="宋体"/>
          <w:color w:val="auto"/>
          <w:spacing w:val="-5"/>
          <w:sz w:val="21"/>
          <w:szCs w:val="21"/>
        </w:rPr>
        <w:t>）</w:t>
      </w:r>
      <w:r>
        <w:rPr>
          <w:rFonts w:hint="eastAsia" w:ascii="宋体" w:hAnsi="宋体" w:cs="宋体"/>
          <w:color w:val="auto"/>
          <w:spacing w:val="-2"/>
          <w:sz w:val="21"/>
          <w:szCs w:val="21"/>
        </w:rPr>
        <w:t>郑重声明，根据《</w:t>
      </w:r>
      <w:r>
        <w:rPr>
          <w:rFonts w:hint="eastAsia" w:ascii="宋体" w:hAnsi="宋体" w:cs="宋体"/>
          <w:color w:val="auto"/>
          <w:sz w:val="21"/>
          <w:szCs w:val="21"/>
        </w:rPr>
        <w:t>政府采购促进中小企业发展管理办法</w:t>
      </w:r>
      <w:r>
        <w:rPr>
          <w:rFonts w:hint="eastAsia" w:ascii="宋体" w:hAnsi="宋体" w:cs="宋体"/>
          <w:color w:val="auto"/>
          <w:spacing w:val="-18"/>
          <w:sz w:val="21"/>
          <w:szCs w:val="21"/>
        </w:rPr>
        <w:t>》</w:t>
      </w:r>
      <w:r>
        <w:rPr>
          <w:rFonts w:hint="eastAsia" w:ascii="宋体" w:hAnsi="宋体" w:cs="宋体"/>
          <w:color w:val="auto"/>
          <w:sz w:val="21"/>
          <w:szCs w:val="21"/>
        </w:rPr>
        <w:t>（</w:t>
      </w:r>
      <w:r>
        <w:rPr>
          <w:rFonts w:hint="eastAsia" w:ascii="宋体" w:hAnsi="宋体" w:cs="宋体"/>
          <w:color w:val="auto"/>
          <w:spacing w:val="5"/>
          <w:sz w:val="21"/>
          <w:szCs w:val="21"/>
        </w:rPr>
        <w:t>财库</w:t>
      </w:r>
      <w:r>
        <w:rPr>
          <w:rFonts w:hint="eastAsia" w:ascii="宋体" w:hAnsi="宋体" w:cs="宋体"/>
          <w:color w:val="auto"/>
          <w:sz w:val="21"/>
          <w:szCs w:val="21"/>
        </w:rPr>
        <w:t>﹝2020﹞46</w:t>
      </w:r>
      <w:r>
        <w:rPr>
          <w:rFonts w:hint="eastAsia" w:ascii="宋体" w:hAnsi="宋体" w:cs="宋体"/>
          <w:color w:val="auto"/>
          <w:spacing w:val="-38"/>
          <w:sz w:val="21"/>
          <w:szCs w:val="21"/>
        </w:rPr>
        <w:t>号</w:t>
      </w:r>
      <w:r>
        <w:rPr>
          <w:rFonts w:hint="eastAsia" w:ascii="宋体" w:hAnsi="宋体" w:cs="宋体"/>
          <w:color w:val="auto"/>
          <w:spacing w:val="5"/>
          <w:sz w:val="21"/>
          <w:szCs w:val="21"/>
        </w:rPr>
        <w:t>）</w:t>
      </w:r>
      <w:r>
        <w:rPr>
          <w:rFonts w:hint="eastAsia" w:ascii="宋体" w:hAnsi="宋体" w:cs="宋体"/>
          <w:color w:val="auto"/>
          <w:sz w:val="21"/>
          <w:szCs w:val="21"/>
        </w:rPr>
        <w:t>的规定，本公司参加</w:t>
      </w:r>
      <w:r>
        <w:rPr>
          <w:rFonts w:hint="eastAsia" w:ascii="宋体" w:hAnsi="宋体" w:cs="宋体"/>
          <w:color w:val="auto"/>
          <w:sz w:val="21"/>
          <w:szCs w:val="21"/>
          <w:u w:val="single"/>
        </w:rPr>
        <w:t>（单位名称）</w:t>
      </w:r>
      <w:r>
        <w:rPr>
          <w:rFonts w:hint="eastAsia" w:ascii="宋体" w:hAnsi="宋体" w:cs="宋体"/>
          <w:color w:val="auto"/>
          <w:sz w:val="21"/>
          <w:szCs w:val="21"/>
        </w:rPr>
        <w:t>的</w:t>
      </w:r>
      <w:r>
        <w:rPr>
          <w:rFonts w:hint="eastAsia" w:ascii="宋体" w:hAnsi="宋体" w:cs="宋体"/>
          <w:color w:val="auto"/>
          <w:sz w:val="21"/>
          <w:szCs w:val="21"/>
          <w:u w:val="single"/>
        </w:rPr>
        <w:t>（项目名称）</w:t>
      </w:r>
      <w:r>
        <w:rPr>
          <w:rFonts w:hint="eastAsia" w:ascii="宋体" w:hAnsi="宋体" w:cs="宋体"/>
          <w:color w:val="auto"/>
          <w:sz w:val="21"/>
          <w:szCs w:val="21"/>
        </w:rPr>
        <w:t>采购活动，提供的货物全部由符合政策要求的中小企业制造。相关企业的具体情况如下：</w:t>
      </w:r>
    </w:p>
    <w:p>
      <w:pPr>
        <w:pStyle w:val="29"/>
        <w:spacing w:line="480" w:lineRule="auto"/>
        <w:ind w:right="415" w:firstLine="640"/>
        <w:rPr>
          <w:rFonts w:ascii="宋体" w:hAnsi="宋体" w:cs="宋体"/>
          <w:color w:val="auto"/>
          <w:sz w:val="21"/>
          <w:szCs w:val="21"/>
        </w:rPr>
      </w:pPr>
      <w:r>
        <w:rPr>
          <w:rFonts w:hint="eastAsia" w:ascii="宋体" w:hAnsi="宋体" w:cs="宋体"/>
          <w:color w:val="auto"/>
          <w:sz w:val="21"/>
          <w:szCs w:val="21"/>
          <w:u w:val="single"/>
        </w:rPr>
        <w:t>（标的名称）</w:t>
      </w:r>
      <w:r>
        <w:rPr>
          <w:rFonts w:hint="eastAsia" w:ascii="宋体" w:hAnsi="宋体" w:cs="宋体"/>
          <w:color w:val="auto"/>
          <w:sz w:val="21"/>
          <w:szCs w:val="21"/>
        </w:rPr>
        <w:t>，属于</w:t>
      </w:r>
      <w:r>
        <w:rPr>
          <w:rFonts w:hint="eastAsia" w:ascii="宋体" w:hAnsi="宋体" w:cs="宋体"/>
          <w:color w:val="auto"/>
          <w:sz w:val="21"/>
          <w:szCs w:val="21"/>
          <w:u w:val="single"/>
        </w:rPr>
        <w:t>（采购文件中明确的所属行业）</w:t>
      </w:r>
      <w:r>
        <w:rPr>
          <w:rFonts w:hint="eastAsia" w:ascii="宋体" w:hAnsi="宋体" w:cs="宋体"/>
          <w:color w:val="auto"/>
          <w:sz w:val="21"/>
          <w:szCs w:val="21"/>
        </w:rPr>
        <w:t>；承建（承接）企业为</w:t>
      </w:r>
      <w:r>
        <w:rPr>
          <w:rFonts w:hint="eastAsia" w:ascii="宋体" w:hAnsi="宋体" w:cs="宋体"/>
          <w:color w:val="auto"/>
          <w:sz w:val="21"/>
          <w:szCs w:val="21"/>
          <w:u w:val="single"/>
        </w:rPr>
        <w:t>（企业名称）</w:t>
      </w:r>
      <w:r>
        <w:rPr>
          <w:rFonts w:hint="eastAsia" w:ascii="宋体" w:hAnsi="宋体" w:cs="宋体"/>
          <w:color w:val="auto"/>
          <w:sz w:val="21"/>
          <w:szCs w:val="21"/>
        </w:rPr>
        <w:t>，从业人员人，营业收入为万元，资产总额为万元，属于</w:t>
      </w:r>
      <w:r>
        <w:rPr>
          <w:rFonts w:hint="eastAsia" w:ascii="宋体" w:hAnsi="宋体" w:cs="宋体"/>
          <w:color w:val="auto"/>
          <w:sz w:val="21"/>
          <w:szCs w:val="21"/>
          <w:u w:val="single"/>
        </w:rPr>
        <w:t>（中型企业、小型企业、微型企业）</w:t>
      </w:r>
      <w:r>
        <w:rPr>
          <w:rFonts w:hint="eastAsia" w:ascii="宋体" w:hAnsi="宋体" w:cs="宋体"/>
          <w:color w:val="auto"/>
          <w:sz w:val="21"/>
          <w:szCs w:val="21"/>
        </w:rPr>
        <w:t>；</w:t>
      </w:r>
    </w:p>
    <w:p>
      <w:pPr>
        <w:pStyle w:val="29"/>
        <w:spacing w:line="480" w:lineRule="auto"/>
        <w:ind w:right="415" w:firstLine="640"/>
        <w:rPr>
          <w:rFonts w:ascii="宋体" w:hAnsi="宋体" w:cs="宋体"/>
          <w:color w:val="auto"/>
          <w:sz w:val="21"/>
          <w:szCs w:val="21"/>
        </w:rPr>
      </w:pPr>
      <w:r>
        <w:rPr>
          <w:rFonts w:hint="eastAsia" w:ascii="宋体" w:hAnsi="宋体" w:cs="宋体"/>
          <w:color w:val="auto"/>
          <w:sz w:val="21"/>
          <w:szCs w:val="21"/>
        </w:rPr>
        <w:t>以上企业，不属于大企业的分支机构，不存在控股股东为大企业的情形，也不存在与大企业的负责人为同一人的情形。</w:t>
      </w:r>
    </w:p>
    <w:p>
      <w:pPr>
        <w:pStyle w:val="29"/>
        <w:spacing w:line="480" w:lineRule="auto"/>
        <w:ind w:right="415" w:firstLine="640"/>
        <w:rPr>
          <w:rFonts w:ascii="宋体" w:hAnsi="宋体" w:cs="宋体"/>
          <w:color w:val="auto"/>
          <w:sz w:val="21"/>
          <w:szCs w:val="21"/>
        </w:rPr>
      </w:pPr>
      <w:r>
        <w:rPr>
          <w:rFonts w:hint="eastAsia" w:ascii="宋体" w:hAnsi="宋体" w:cs="宋体"/>
          <w:color w:val="auto"/>
          <w:sz w:val="21"/>
          <w:szCs w:val="21"/>
        </w:rPr>
        <w:t>本企业对上述声明内容的真实性负责。如有虚假，将依法承担相应责任。</w:t>
      </w:r>
    </w:p>
    <w:p>
      <w:pPr>
        <w:pStyle w:val="29"/>
        <w:spacing w:before="29" w:line="316" w:lineRule="auto"/>
        <w:ind w:left="4060" w:right="2166"/>
        <w:rPr>
          <w:rFonts w:ascii="宋体" w:hAnsi="宋体" w:cs="宋体"/>
          <w:color w:val="auto"/>
          <w:w w:val="99"/>
          <w:sz w:val="21"/>
          <w:szCs w:val="21"/>
        </w:rPr>
      </w:pPr>
    </w:p>
    <w:p>
      <w:pPr>
        <w:pStyle w:val="29"/>
        <w:spacing w:before="29" w:line="316" w:lineRule="auto"/>
        <w:ind w:left="4060" w:right="2166"/>
        <w:rPr>
          <w:rFonts w:ascii="宋体" w:hAnsi="宋体" w:cs="宋体"/>
          <w:color w:val="auto"/>
          <w:w w:val="99"/>
          <w:sz w:val="21"/>
          <w:szCs w:val="21"/>
        </w:rPr>
      </w:pPr>
    </w:p>
    <w:p>
      <w:pPr>
        <w:pStyle w:val="29"/>
        <w:spacing w:before="29" w:line="316" w:lineRule="auto"/>
        <w:ind w:left="4060" w:right="2166"/>
        <w:rPr>
          <w:rFonts w:ascii="宋体" w:hAnsi="宋体" w:cs="宋体"/>
          <w:color w:val="auto"/>
          <w:w w:val="99"/>
          <w:sz w:val="21"/>
          <w:szCs w:val="21"/>
        </w:rPr>
      </w:pPr>
    </w:p>
    <w:p>
      <w:pPr>
        <w:pStyle w:val="29"/>
        <w:spacing w:line="302" w:lineRule="auto"/>
        <w:ind w:right="415"/>
        <w:rPr>
          <w:rFonts w:ascii="宋体" w:hAnsi="宋体" w:cs="宋体"/>
          <w:color w:val="auto"/>
          <w:sz w:val="21"/>
          <w:szCs w:val="21"/>
        </w:rPr>
      </w:pPr>
      <w:r>
        <w:rPr>
          <w:rFonts w:hint="eastAsia" w:ascii="宋体" w:hAnsi="宋体" w:cs="宋体"/>
          <w:color w:val="auto"/>
          <w:sz w:val="21"/>
          <w:szCs w:val="21"/>
        </w:rPr>
        <w:t>企业名称（盖章）：</w:t>
      </w:r>
    </w:p>
    <w:p>
      <w:pPr>
        <w:pStyle w:val="29"/>
        <w:spacing w:line="302" w:lineRule="auto"/>
        <w:ind w:right="415" w:firstLine="3580"/>
        <w:rPr>
          <w:rFonts w:ascii="宋体" w:hAnsi="宋体" w:cs="宋体"/>
          <w:color w:val="auto"/>
          <w:sz w:val="21"/>
          <w:szCs w:val="21"/>
        </w:rPr>
      </w:pPr>
    </w:p>
    <w:p>
      <w:pPr>
        <w:pStyle w:val="29"/>
        <w:spacing w:line="302" w:lineRule="auto"/>
        <w:ind w:right="415"/>
        <w:rPr>
          <w:rFonts w:ascii="宋体" w:hAnsi="宋体" w:cs="宋体"/>
          <w:color w:val="auto"/>
          <w:sz w:val="21"/>
          <w:szCs w:val="21"/>
        </w:rPr>
      </w:pPr>
      <w:r>
        <w:rPr>
          <w:rFonts w:hint="eastAsia" w:ascii="宋体" w:hAnsi="宋体" w:cs="宋体"/>
          <w:color w:val="auto"/>
          <w:sz w:val="21"/>
          <w:szCs w:val="21"/>
        </w:rPr>
        <w:t>日期：</w:t>
      </w:r>
    </w:p>
    <w:p>
      <w:pPr>
        <w:pStyle w:val="29"/>
        <w:spacing w:before="29" w:line="316" w:lineRule="auto"/>
        <w:ind w:left="4060" w:right="2166"/>
        <w:rPr>
          <w:rFonts w:ascii="宋体" w:hAnsi="宋体" w:cs="宋体"/>
          <w:color w:val="auto"/>
          <w:spacing w:val="24"/>
          <w:sz w:val="21"/>
          <w:szCs w:val="21"/>
        </w:rPr>
      </w:pPr>
    </w:p>
    <w:p>
      <w:pPr>
        <w:pStyle w:val="29"/>
        <w:spacing w:before="29" w:line="316" w:lineRule="auto"/>
        <w:ind w:left="4060" w:right="2166"/>
        <w:rPr>
          <w:rFonts w:ascii="宋体" w:hAnsi="宋体" w:cs="宋体"/>
          <w:color w:val="auto"/>
          <w:spacing w:val="24"/>
          <w:sz w:val="21"/>
          <w:szCs w:val="21"/>
        </w:rPr>
      </w:pPr>
    </w:p>
    <w:p>
      <w:pPr>
        <w:pStyle w:val="29"/>
        <w:spacing w:before="29" w:line="316" w:lineRule="auto"/>
        <w:ind w:left="4060" w:right="2166"/>
        <w:rPr>
          <w:rFonts w:ascii="宋体" w:hAnsi="宋体" w:cs="宋体"/>
          <w:color w:val="auto"/>
          <w:spacing w:val="24"/>
          <w:sz w:val="21"/>
          <w:szCs w:val="21"/>
        </w:rPr>
      </w:pPr>
    </w:p>
    <w:p>
      <w:pPr>
        <w:pStyle w:val="29"/>
        <w:spacing w:before="29" w:line="316" w:lineRule="auto"/>
        <w:ind w:left="4060" w:right="2166"/>
        <w:jc w:val="left"/>
        <w:rPr>
          <w:rFonts w:ascii="宋体" w:hAnsi="宋体" w:cs="宋体"/>
          <w:color w:val="auto"/>
          <w:spacing w:val="24"/>
          <w:sz w:val="21"/>
          <w:szCs w:val="21"/>
        </w:rPr>
      </w:pPr>
    </w:p>
    <w:p>
      <w:pPr>
        <w:widowControl/>
        <w:jc w:val="left"/>
        <w:rPr>
          <w:rFonts w:ascii="宋体" w:hAnsi="宋体" w:cs="宋体"/>
          <w:color w:val="auto"/>
          <w:szCs w:val="21"/>
        </w:rPr>
      </w:pPr>
      <w:r>
        <w:rPr>
          <w:rFonts w:hint="eastAsia" w:ascii="宋体" w:hAnsi="宋体" w:cs="宋体"/>
          <w:color w:val="auto"/>
          <w:szCs w:val="21"/>
        </w:rPr>
        <w:t>（注：1、从业人员、营业收入、资产总额填报上一年度数据，无上一年度数据的新成立企业可不填报。2、符合中小企业划型标准的企业请提供本函，不符合的不提供本函；）</w:t>
      </w:r>
      <w:bookmarkEnd w:id="271"/>
      <w:bookmarkEnd w:id="272"/>
      <w:bookmarkEnd w:id="273"/>
    </w:p>
    <w:p>
      <w:pPr>
        <w:pStyle w:val="315"/>
        <w:snapToGrid w:val="0"/>
        <w:spacing w:before="156" w:beforeLines="50"/>
        <w:rPr>
          <w:rFonts w:hAnsi="宋体" w:cs="宋体"/>
          <w:color w:val="auto"/>
        </w:rPr>
      </w:pPr>
    </w:p>
    <w:p>
      <w:pPr>
        <w:widowControl/>
        <w:spacing w:line="360" w:lineRule="auto"/>
        <w:jc w:val="left"/>
        <w:rPr>
          <w:rFonts w:ascii="宋体" w:hAnsi="宋体" w:cs="宋体"/>
          <w:color w:val="auto"/>
          <w:szCs w:val="21"/>
        </w:rPr>
      </w:pPr>
    </w:p>
    <w:p>
      <w:pPr>
        <w:spacing w:line="360" w:lineRule="auto"/>
        <w:jc w:val="center"/>
        <w:outlineLvl w:val="2"/>
        <w:rPr>
          <w:rFonts w:ascii="宋体" w:hAnsi="宋体" w:cs="宋体"/>
          <w:color w:val="auto"/>
          <w:szCs w:val="21"/>
        </w:rPr>
      </w:pPr>
      <w:bookmarkStart w:id="274" w:name="_Toc3220226"/>
      <w:bookmarkStart w:id="275" w:name="_Toc4433605"/>
      <w:r>
        <w:rPr>
          <w:rFonts w:hint="eastAsia" w:ascii="宋体" w:hAnsi="宋体" w:cs="宋体"/>
          <w:color w:val="auto"/>
          <w:sz w:val="24"/>
        </w:rPr>
        <w:t>（</w:t>
      </w:r>
      <w:r>
        <w:rPr>
          <w:rFonts w:hint="eastAsia" w:ascii="宋体" w:hAnsi="宋体" w:cs="宋体"/>
          <w:color w:val="auto"/>
          <w:szCs w:val="21"/>
        </w:rPr>
        <w:t>二）监狱企业证明</w:t>
      </w:r>
      <w:bookmarkEnd w:id="274"/>
      <w:bookmarkEnd w:id="275"/>
    </w:p>
    <w:p>
      <w:pPr>
        <w:spacing w:line="360" w:lineRule="auto"/>
        <w:jc w:val="center"/>
        <w:rPr>
          <w:rFonts w:ascii="宋体" w:hAnsi="宋体" w:cs="宋体"/>
          <w:color w:val="auto"/>
          <w:szCs w:val="21"/>
        </w:rPr>
      </w:pPr>
      <w:r>
        <w:rPr>
          <w:rFonts w:hint="eastAsia" w:ascii="宋体" w:hAnsi="宋体" w:cs="宋体"/>
          <w:color w:val="auto"/>
          <w:szCs w:val="21"/>
        </w:rPr>
        <w:t>（注：符合条件的监狱企业请提供本函，不符合的不提供本函）</w:t>
      </w:r>
    </w:p>
    <w:p>
      <w:pPr>
        <w:pStyle w:val="40"/>
        <w:snapToGrid w:val="0"/>
        <w:spacing w:before="156" w:beforeLines="50" w:line="360" w:lineRule="auto"/>
        <w:rPr>
          <w:rFonts w:hAnsi="宋体" w:cs="宋体"/>
          <w:color w:val="auto"/>
        </w:rPr>
      </w:pPr>
    </w:p>
    <w:p>
      <w:pPr>
        <w:pStyle w:val="40"/>
        <w:snapToGrid w:val="0"/>
        <w:spacing w:before="156" w:beforeLines="50" w:line="360" w:lineRule="auto"/>
        <w:rPr>
          <w:rFonts w:hAnsi="宋体" w:cs="宋体"/>
          <w:color w:val="auto"/>
        </w:rPr>
      </w:pPr>
      <w:r>
        <w:rPr>
          <w:rFonts w:hint="eastAsia" w:hAnsi="宋体" w:cs="宋体"/>
          <w:color w:val="auto"/>
        </w:rPr>
        <w:t>省级以上监狱管理局、戒毒管理局（含新疆生产建设兵团）出具的属于监狱企业的证明文件。</w:t>
      </w:r>
    </w:p>
    <w:p>
      <w:pPr>
        <w:pStyle w:val="40"/>
        <w:snapToGrid w:val="0"/>
        <w:spacing w:before="156" w:beforeLines="50" w:line="360" w:lineRule="auto"/>
        <w:rPr>
          <w:rFonts w:hAnsi="宋体" w:cs="宋体"/>
          <w:color w:val="auto"/>
          <w:sz w:val="24"/>
          <w:szCs w:val="24"/>
        </w:rPr>
      </w:pPr>
    </w:p>
    <w:p>
      <w:pPr>
        <w:spacing w:line="360" w:lineRule="auto"/>
        <w:jc w:val="center"/>
        <w:outlineLvl w:val="2"/>
        <w:rPr>
          <w:rFonts w:ascii="宋体" w:hAnsi="宋体" w:cs="宋体"/>
          <w:color w:val="auto"/>
          <w:szCs w:val="21"/>
        </w:rPr>
      </w:pPr>
      <w:r>
        <w:rPr>
          <w:rFonts w:hint="eastAsia" w:ascii="宋体" w:hAnsi="宋体" w:cs="宋体"/>
          <w:color w:val="auto"/>
          <w:sz w:val="24"/>
        </w:rPr>
        <w:br w:type="page"/>
      </w:r>
      <w:bookmarkStart w:id="276" w:name="_Toc4433606"/>
      <w:bookmarkStart w:id="277" w:name="_Toc3220227"/>
      <w:r>
        <w:rPr>
          <w:rFonts w:hint="eastAsia" w:ascii="宋体" w:hAnsi="宋体" w:cs="宋体"/>
          <w:color w:val="auto"/>
          <w:szCs w:val="21"/>
        </w:rPr>
        <w:t>（三）残疾人福利性单位声明函</w:t>
      </w:r>
      <w:bookmarkEnd w:id="276"/>
      <w:bookmarkEnd w:id="277"/>
    </w:p>
    <w:p>
      <w:pPr>
        <w:spacing w:line="360" w:lineRule="auto"/>
        <w:jc w:val="center"/>
        <w:rPr>
          <w:rFonts w:ascii="宋体" w:hAnsi="宋体" w:cs="宋体"/>
          <w:color w:val="auto"/>
          <w:szCs w:val="21"/>
        </w:rPr>
      </w:pPr>
      <w:r>
        <w:rPr>
          <w:rFonts w:hint="eastAsia" w:ascii="宋体" w:hAnsi="宋体" w:cs="宋体"/>
          <w:color w:val="auto"/>
          <w:szCs w:val="21"/>
        </w:rPr>
        <w:t>（注：符合条件的残疾人福利性单位请提供本函，不符合的不提供本函）</w:t>
      </w:r>
    </w:p>
    <w:p>
      <w:pPr>
        <w:spacing w:line="360" w:lineRule="auto"/>
        <w:rPr>
          <w:rFonts w:ascii="宋体" w:hAnsi="宋体" w:cs="宋体"/>
          <w:color w:val="auto"/>
          <w:szCs w:val="21"/>
        </w:rPr>
      </w:pPr>
    </w:p>
    <w:p>
      <w:pPr>
        <w:spacing w:line="360" w:lineRule="auto"/>
        <w:rPr>
          <w:rFonts w:ascii="宋体" w:hAnsi="宋体" w:cs="宋体"/>
          <w:color w:val="auto"/>
          <w:szCs w:val="21"/>
        </w:rPr>
      </w:pPr>
    </w:p>
    <w:p>
      <w:pPr>
        <w:spacing w:line="360" w:lineRule="auto"/>
        <w:rPr>
          <w:rFonts w:ascii="宋体" w:hAnsi="宋体" w:cs="宋体"/>
          <w:color w:val="auto"/>
          <w:szCs w:val="21"/>
        </w:rPr>
      </w:pPr>
      <w:r>
        <w:rPr>
          <w:rFonts w:hint="eastAsia" w:ascii="宋体" w:hAnsi="宋体" w:cs="宋体"/>
          <w:color w:val="auto"/>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rPr>
          <w:rFonts w:ascii="宋体" w:hAnsi="宋体" w:cs="宋体"/>
          <w:color w:val="auto"/>
          <w:szCs w:val="21"/>
        </w:rPr>
      </w:pPr>
    </w:p>
    <w:p>
      <w:pPr>
        <w:spacing w:line="360" w:lineRule="auto"/>
        <w:rPr>
          <w:rFonts w:ascii="宋体" w:hAnsi="宋体" w:cs="宋体"/>
          <w:color w:val="auto"/>
          <w:szCs w:val="21"/>
        </w:rPr>
      </w:pPr>
      <w:r>
        <w:rPr>
          <w:rFonts w:hint="eastAsia" w:ascii="宋体" w:hAnsi="宋体" w:cs="宋体"/>
          <w:color w:val="auto"/>
          <w:szCs w:val="21"/>
        </w:rPr>
        <w:t>本单位对上述声明的真实性负责。如有虚假，将依法承担相应责任。</w:t>
      </w:r>
    </w:p>
    <w:p>
      <w:pPr>
        <w:spacing w:line="360" w:lineRule="auto"/>
        <w:rPr>
          <w:rFonts w:ascii="宋体" w:hAnsi="宋体" w:cs="宋体"/>
          <w:color w:val="auto"/>
          <w:szCs w:val="21"/>
        </w:rPr>
      </w:pPr>
    </w:p>
    <w:p>
      <w:pPr>
        <w:spacing w:line="360" w:lineRule="auto"/>
        <w:rPr>
          <w:rFonts w:ascii="宋体" w:hAnsi="宋体" w:cs="宋体"/>
          <w:color w:val="auto"/>
          <w:szCs w:val="21"/>
        </w:rPr>
      </w:pPr>
      <w:r>
        <w:rPr>
          <w:rFonts w:hint="eastAsia" w:ascii="宋体" w:hAnsi="宋体" w:cs="宋体"/>
          <w:color w:val="auto"/>
          <w:szCs w:val="21"/>
        </w:rPr>
        <w:t>单位名称（盖章）：</w:t>
      </w:r>
    </w:p>
    <w:p>
      <w:pPr>
        <w:spacing w:line="360" w:lineRule="auto"/>
        <w:rPr>
          <w:rFonts w:ascii="宋体" w:hAnsi="宋体" w:cs="宋体"/>
          <w:color w:val="auto"/>
          <w:szCs w:val="21"/>
        </w:rPr>
      </w:pPr>
    </w:p>
    <w:p>
      <w:pPr>
        <w:spacing w:line="360" w:lineRule="auto"/>
        <w:rPr>
          <w:rFonts w:ascii="宋体" w:hAnsi="宋体" w:cs="宋体"/>
          <w:color w:val="auto"/>
          <w:sz w:val="24"/>
        </w:rPr>
      </w:pPr>
      <w:r>
        <w:rPr>
          <w:rFonts w:hint="eastAsia" w:ascii="宋体" w:hAnsi="宋体" w:cs="宋体"/>
          <w:color w:val="auto"/>
          <w:szCs w:val="21"/>
        </w:rPr>
        <w:t>日  期：</w:t>
      </w:r>
    </w:p>
    <w:p>
      <w:pPr>
        <w:widowControl/>
        <w:jc w:val="left"/>
        <w:rPr>
          <w:rFonts w:ascii="宋体" w:hAnsi="宋体" w:cs="宋体"/>
          <w:color w:val="auto"/>
          <w:sz w:val="24"/>
        </w:rPr>
      </w:pPr>
      <w:r>
        <w:rPr>
          <w:rFonts w:hint="eastAsia" w:ascii="宋体" w:hAnsi="宋体" w:cs="宋体"/>
          <w:color w:val="auto"/>
          <w:sz w:val="24"/>
        </w:rPr>
        <w:br w:type="page"/>
      </w:r>
    </w:p>
    <w:p>
      <w:pPr>
        <w:pStyle w:val="281"/>
        <w:numPr>
          <w:ilvl w:val="0"/>
          <w:numId w:val="21"/>
        </w:numPr>
        <w:spacing w:line="360" w:lineRule="auto"/>
        <w:ind w:left="1276" w:hanging="1276" w:firstLineChars="0"/>
        <w:outlineLvl w:val="1"/>
        <w:rPr>
          <w:rFonts w:ascii="宋体" w:hAnsi="宋体" w:cs="宋体"/>
          <w:b/>
          <w:color w:val="auto"/>
          <w:sz w:val="24"/>
        </w:rPr>
      </w:pPr>
      <w:bookmarkStart w:id="278" w:name="_Toc3220228"/>
      <w:bookmarkStart w:id="279" w:name="_Toc4433607"/>
      <w:bookmarkStart w:id="280" w:name="_Toc13641"/>
      <w:r>
        <w:rPr>
          <w:rFonts w:hint="eastAsia" w:ascii="宋体" w:hAnsi="宋体" w:cs="宋体"/>
          <w:b/>
          <w:color w:val="auto"/>
          <w:sz w:val="24"/>
        </w:rPr>
        <w:t>响应承诺书</w:t>
      </w:r>
      <w:bookmarkEnd w:id="278"/>
      <w:bookmarkEnd w:id="279"/>
      <w:bookmarkEnd w:id="280"/>
    </w:p>
    <w:p>
      <w:pPr>
        <w:spacing w:line="360" w:lineRule="auto"/>
        <w:rPr>
          <w:rFonts w:ascii="宋体" w:hAnsi="宋体" w:cs="宋体"/>
          <w:color w:val="auto"/>
          <w:sz w:val="24"/>
        </w:rPr>
      </w:pPr>
    </w:p>
    <w:p>
      <w:pPr>
        <w:spacing w:line="360" w:lineRule="auto"/>
        <w:jc w:val="center"/>
        <w:rPr>
          <w:rFonts w:ascii="宋体" w:hAnsi="宋体" w:cs="宋体"/>
          <w:color w:val="auto"/>
          <w:szCs w:val="21"/>
        </w:rPr>
      </w:pPr>
      <w:r>
        <w:rPr>
          <w:rFonts w:hint="eastAsia" w:ascii="宋体" w:hAnsi="宋体" w:cs="宋体"/>
          <w:color w:val="auto"/>
          <w:szCs w:val="21"/>
        </w:rPr>
        <w:t>响应承诺书</w:t>
      </w:r>
    </w:p>
    <w:p>
      <w:pPr>
        <w:spacing w:line="360" w:lineRule="auto"/>
        <w:rPr>
          <w:rFonts w:ascii="宋体" w:hAnsi="宋体" w:cs="宋体"/>
          <w:color w:val="auto"/>
          <w:szCs w:val="21"/>
        </w:rPr>
      </w:pPr>
      <w:r>
        <w:rPr>
          <w:rFonts w:hint="eastAsia" w:ascii="宋体" w:hAnsi="宋体" w:cs="宋体"/>
          <w:color w:val="auto"/>
          <w:szCs w:val="21"/>
        </w:rPr>
        <w:t>致：</w:t>
      </w:r>
    </w:p>
    <w:p>
      <w:pPr>
        <w:spacing w:line="360" w:lineRule="auto"/>
        <w:ind w:firstLine="420" w:firstLineChars="200"/>
        <w:rPr>
          <w:rFonts w:ascii="宋体" w:hAnsi="宋体" w:cs="宋体"/>
          <w:color w:val="auto"/>
          <w:szCs w:val="21"/>
        </w:rPr>
      </w:pPr>
      <w:r>
        <w:rPr>
          <w:rFonts w:hint="eastAsia" w:ascii="宋体" w:hAnsi="宋体" w:cs="宋体"/>
          <w:color w:val="auto"/>
          <w:szCs w:val="21"/>
        </w:rPr>
        <w:t>我方在此声明，我方以下事项进行承诺：</w:t>
      </w:r>
    </w:p>
    <w:p>
      <w:pPr>
        <w:spacing w:line="360" w:lineRule="auto"/>
        <w:ind w:firstLine="420" w:firstLineChars="200"/>
        <w:rPr>
          <w:rFonts w:ascii="宋体" w:hAnsi="宋体" w:cs="宋体"/>
          <w:color w:val="auto"/>
          <w:szCs w:val="21"/>
        </w:rPr>
      </w:pPr>
      <w:r>
        <w:rPr>
          <w:rFonts w:hint="eastAsia" w:ascii="宋体" w:hAnsi="宋体" w:cs="宋体"/>
          <w:color w:val="auto"/>
          <w:szCs w:val="21"/>
        </w:rPr>
        <w:t>（1） 在本次磋商中我公司无与其他供应商相互串通，或与采购人串通的行为；</w:t>
      </w:r>
    </w:p>
    <w:p>
      <w:pPr>
        <w:spacing w:line="360" w:lineRule="auto"/>
        <w:ind w:firstLine="420" w:firstLineChars="200"/>
        <w:rPr>
          <w:rFonts w:ascii="宋体" w:hAnsi="宋体" w:cs="宋体"/>
          <w:color w:val="auto"/>
          <w:szCs w:val="21"/>
        </w:rPr>
      </w:pPr>
      <w:r>
        <w:rPr>
          <w:rFonts w:hint="eastAsia" w:ascii="宋体" w:hAnsi="宋体" w:cs="宋体"/>
          <w:color w:val="auto"/>
          <w:szCs w:val="21"/>
        </w:rPr>
        <w:t>（2） 在本次磋商中我公司无向采购人或评审小组成员行贿的手段谋取成交的行为；</w:t>
      </w:r>
    </w:p>
    <w:p>
      <w:pPr>
        <w:spacing w:line="360" w:lineRule="auto"/>
        <w:ind w:firstLine="420" w:firstLineChars="200"/>
        <w:rPr>
          <w:rFonts w:ascii="宋体" w:hAnsi="宋体" w:cs="宋体"/>
          <w:color w:val="auto"/>
          <w:szCs w:val="21"/>
        </w:rPr>
      </w:pPr>
      <w:r>
        <w:rPr>
          <w:rFonts w:hint="eastAsia" w:ascii="宋体" w:hAnsi="宋体" w:cs="宋体"/>
          <w:color w:val="auto"/>
          <w:szCs w:val="21"/>
        </w:rPr>
        <w:t>（3） 在本次磋商中我公司无出借或借用资质行为、在响应文件中所附资料（业绩、项目负责人资料等）无弄虚作假；</w:t>
      </w:r>
    </w:p>
    <w:p>
      <w:pPr>
        <w:spacing w:line="360" w:lineRule="auto"/>
        <w:ind w:firstLine="420" w:firstLineChars="200"/>
        <w:rPr>
          <w:rFonts w:ascii="宋体" w:hAnsi="宋体" w:cs="宋体"/>
          <w:color w:val="auto"/>
          <w:szCs w:val="21"/>
        </w:rPr>
      </w:pPr>
      <w:r>
        <w:rPr>
          <w:rFonts w:hint="eastAsia" w:ascii="宋体" w:hAnsi="宋体" w:cs="宋体"/>
          <w:color w:val="auto"/>
          <w:szCs w:val="21"/>
        </w:rPr>
        <w:t>（4） 我公司没有处于被责令停产、停业、投标资格被取消状态；</w:t>
      </w:r>
    </w:p>
    <w:p>
      <w:pPr>
        <w:spacing w:line="360" w:lineRule="auto"/>
        <w:ind w:firstLine="420" w:firstLineChars="200"/>
        <w:rPr>
          <w:rFonts w:ascii="宋体" w:hAnsi="宋体" w:cs="宋体"/>
          <w:color w:val="auto"/>
          <w:szCs w:val="21"/>
        </w:rPr>
      </w:pPr>
      <w:r>
        <w:rPr>
          <w:rFonts w:hint="eastAsia" w:ascii="宋体" w:hAnsi="宋体" w:cs="宋体"/>
          <w:color w:val="auto"/>
          <w:szCs w:val="21"/>
        </w:rPr>
        <w:t>（5）我公司不采用非法手段获取证据进行质疑、投诉，在质疑、投诉过程中不提供虚假情况或进行恶意质疑、投诉。</w:t>
      </w:r>
    </w:p>
    <w:p>
      <w:pPr>
        <w:spacing w:line="360" w:lineRule="auto"/>
        <w:ind w:firstLine="420" w:firstLineChars="200"/>
        <w:rPr>
          <w:rFonts w:ascii="宋体" w:hAnsi="宋体" w:cs="宋体"/>
          <w:color w:val="auto"/>
          <w:szCs w:val="21"/>
        </w:rPr>
      </w:pPr>
      <w:r>
        <w:rPr>
          <w:rFonts w:hint="eastAsia" w:ascii="宋体" w:hAnsi="宋体" w:cs="宋体"/>
          <w:color w:val="auto"/>
          <w:szCs w:val="21"/>
        </w:rPr>
        <w:t>上述承诺内容如有不实，我公司愿意承担由此造成的一切法律责任，并承诺以磋商保证金赔偿给采购人造成的损失。</w:t>
      </w:r>
    </w:p>
    <w:p>
      <w:pPr>
        <w:spacing w:line="360" w:lineRule="auto"/>
        <w:ind w:firstLine="420" w:firstLineChars="200"/>
        <w:rPr>
          <w:rFonts w:ascii="宋体" w:hAnsi="宋体" w:cs="宋体"/>
          <w:color w:val="auto"/>
          <w:szCs w:val="21"/>
        </w:rPr>
      </w:pPr>
      <w:r>
        <w:rPr>
          <w:rFonts w:hint="eastAsia" w:ascii="宋体" w:hAnsi="宋体" w:cs="宋体"/>
          <w:color w:val="auto"/>
          <w:szCs w:val="21"/>
        </w:rPr>
        <w:t>特此承诺</w:t>
      </w:r>
    </w:p>
    <w:p>
      <w:pPr>
        <w:spacing w:line="360" w:lineRule="auto"/>
        <w:ind w:firstLine="420" w:firstLineChars="200"/>
        <w:rPr>
          <w:rFonts w:ascii="宋体" w:hAnsi="宋体" w:cs="宋体"/>
          <w:color w:val="auto"/>
          <w:szCs w:val="21"/>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供应商名称（公章）： </w:t>
      </w:r>
    </w:p>
    <w:p>
      <w:pPr>
        <w:spacing w:line="360" w:lineRule="auto"/>
        <w:ind w:firstLine="420" w:firstLineChars="200"/>
        <w:rPr>
          <w:rFonts w:ascii="宋体" w:hAnsi="宋体" w:cs="宋体"/>
          <w:color w:val="auto"/>
          <w:szCs w:val="21"/>
        </w:rPr>
      </w:pPr>
      <w:r>
        <w:rPr>
          <w:rFonts w:hint="eastAsia" w:ascii="宋体" w:hAnsi="宋体" w:cs="宋体"/>
          <w:color w:val="auto"/>
          <w:szCs w:val="21"/>
        </w:rPr>
        <w:t>法定代表人或其授权代表（签字或加盖人名章）：</w:t>
      </w:r>
    </w:p>
    <w:p>
      <w:pPr>
        <w:spacing w:line="360" w:lineRule="auto"/>
        <w:ind w:firstLine="420" w:firstLineChars="200"/>
        <w:rPr>
          <w:rFonts w:ascii="宋体" w:hAnsi="宋体" w:cs="宋体"/>
          <w:color w:val="auto"/>
          <w:szCs w:val="21"/>
        </w:rPr>
      </w:pPr>
      <w:r>
        <w:rPr>
          <w:rFonts w:hint="eastAsia" w:ascii="宋体" w:hAnsi="宋体" w:cs="宋体"/>
          <w:color w:val="auto"/>
          <w:szCs w:val="21"/>
        </w:rPr>
        <w:t>日    期：     年   月    日</w:t>
      </w:r>
    </w:p>
    <w:p>
      <w:pPr>
        <w:widowControl/>
        <w:jc w:val="left"/>
        <w:rPr>
          <w:rFonts w:ascii="宋体" w:hAnsi="宋体" w:cs="宋体"/>
          <w:color w:val="auto"/>
          <w:sz w:val="24"/>
        </w:rPr>
      </w:pPr>
    </w:p>
    <w:p>
      <w:pPr>
        <w:pStyle w:val="40"/>
        <w:snapToGrid w:val="0"/>
        <w:spacing w:before="156" w:beforeLines="50"/>
        <w:rPr>
          <w:rFonts w:hAnsi="宋体" w:cs="宋体"/>
          <w:color w:val="auto"/>
          <w:sz w:val="24"/>
          <w:szCs w:val="24"/>
        </w:rPr>
      </w:pPr>
    </w:p>
    <w:p>
      <w:pPr>
        <w:widowControl/>
        <w:jc w:val="left"/>
        <w:rPr>
          <w:rFonts w:ascii="宋体" w:hAnsi="宋体" w:cs="宋体"/>
          <w:color w:val="auto"/>
          <w:sz w:val="24"/>
        </w:rPr>
      </w:pPr>
    </w:p>
    <w:p>
      <w:pPr>
        <w:adjustRightInd w:val="0"/>
        <w:spacing w:line="360" w:lineRule="atLeast"/>
        <w:jc w:val="left"/>
        <w:textAlignment w:val="baseline"/>
        <w:rPr>
          <w:rFonts w:ascii="宋体" w:hAnsi="宋体" w:cs="宋体"/>
          <w:b/>
          <w:color w:val="auto"/>
          <w:sz w:val="30"/>
          <w:szCs w:val="30"/>
        </w:rPr>
      </w:pPr>
      <w:r>
        <w:rPr>
          <w:rFonts w:hint="eastAsia" w:ascii="宋体" w:hAnsi="宋体" w:cs="宋体"/>
          <w:b/>
          <w:color w:val="auto"/>
          <w:spacing w:val="20"/>
          <w:sz w:val="24"/>
        </w:rPr>
        <w:br w:type="page"/>
      </w:r>
    </w:p>
    <w:p>
      <w:pPr>
        <w:pStyle w:val="281"/>
        <w:numPr>
          <w:ilvl w:val="0"/>
          <w:numId w:val="21"/>
        </w:numPr>
        <w:spacing w:line="360" w:lineRule="auto"/>
        <w:ind w:left="1276" w:hanging="1276" w:firstLineChars="0"/>
        <w:outlineLvl w:val="1"/>
        <w:rPr>
          <w:rFonts w:ascii="宋体" w:hAnsi="宋体" w:cs="宋体"/>
          <w:b/>
          <w:color w:val="auto"/>
          <w:sz w:val="24"/>
        </w:rPr>
      </w:pPr>
      <w:bookmarkStart w:id="281" w:name="_Toc4433608"/>
      <w:bookmarkStart w:id="282" w:name="_Toc416103825"/>
      <w:bookmarkStart w:id="283" w:name="_Toc410631184"/>
      <w:bookmarkStart w:id="284" w:name="_Toc17715"/>
      <w:bookmarkStart w:id="285" w:name="_Toc3220229"/>
      <w:bookmarkStart w:id="286" w:name="_Toc414445775"/>
      <w:r>
        <w:rPr>
          <w:rFonts w:hint="eastAsia" w:ascii="宋体" w:hAnsi="宋体" w:cs="宋体"/>
          <w:b/>
          <w:color w:val="auto"/>
          <w:sz w:val="24"/>
        </w:rPr>
        <w:t>技术偏离表</w:t>
      </w:r>
      <w:bookmarkEnd w:id="281"/>
      <w:bookmarkEnd w:id="282"/>
      <w:bookmarkEnd w:id="283"/>
      <w:bookmarkEnd w:id="284"/>
      <w:bookmarkEnd w:id="285"/>
      <w:bookmarkEnd w:id="286"/>
    </w:p>
    <w:p>
      <w:pPr>
        <w:spacing w:after="240"/>
        <w:ind w:hanging="119"/>
        <w:rPr>
          <w:rFonts w:ascii="宋体" w:hAnsi="宋体" w:cs="宋体"/>
          <w:color w:val="auto"/>
          <w:sz w:val="24"/>
        </w:rPr>
      </w:pPr>
    </w:p>
    <w:p>
      <w:pPr>
        <w:spacing w:after="240"/>
        <w:ind w:firstLine="105" w:firstLineChars="50"/>
        <w:rPr>
          <w:rFonts w:ascii="宋体" w:hAnsi="宋体" w:cs="宋体"/>
          <w:color w:val="auto"/>
          <w:szCs w:val="21"/>
        </w:rPr>
      </w:pPr>
      <w:r>
        <w:rPr>
          <w:rFonts w:hint="eastAsia" w:ascii="宋体" w:hAnsi="宋体" w:cs="宋体"/>
          <w:color w:val="auto"/>
          <w:szCs w:val="21"/>
        </w:rPr>
        <w:t>供应商名称：</w:t>
      </w:r>
    </w:p>
    <w:tbl>
      <w:tblPr>
        <w:tblStyle w:val="74"/>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宋体" w:hAnsi="宋体" w:cs="宋体"/>
                <w:color w:val="auto"/>
                <w:szCs w:val="21"/>
              </w:rPr>
            </w:pPr>
            <w:r>
              <w:rPr>
                <w:rFonts w:hint="eastAsia" w:ascii="宋体" w:hAnsi="宋体" w:cs="宋体"/>
                <w:color w:val="auto"/>
                <w:szCs w:val="21"/>
              </w:rPr>
              <w:t>磋商文件条目号</w:t>
            </w: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宋体" w:hAnsi="宋体" w:cs="宋体"/>
                <w:color w:val="auto"/>
                <w:szCs w:val="21"/>
              </w:rPr>
            </w:pPr>
            <w:r>
              <w:rPr>
                <w:rFonts w:hint="eastAsia" w:ascii="宋体" w:hAnsi="宋体" w:cs="宋体"/>
                <w:color w:val="auto"/>
                <w:szCs w:val="21"/>
              </w:rPr>
              <w:t>技术条款要求</w:t>
            </w: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宋体" w:hAnsi="宋体" w:cs="宋体"/>
                <w:color w:val="auto"/>
                <w:szCs w:val="21"/>
              </w:rPr>
            </w:pPr>
            <w:r>
              <w:rPr>
                <w:rFonts w:hint="eastAsia" w:ascii="宋体" w:hAnsi="宋体" w:cs="宋体"/>
                <w:color w:val="auto"/>
                <w:szCs w:val="21"/>
              </w:rPr>
              <w:t>完全响应</w:t>
            </w: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宋体" w:hAnsi="宋体" w:cs="宋体"/>
                <w:color w:val="auto"/>
                <w:szCs w:val="21"/>
              </w:rPr>
            </w:pPr>
            <w:r>
              <w:rPr>
                <w:rFonts w:hint="eastAsia" w:ascii="宋体" w:hAnsi="宋体" w:cs="宋体"/>
                <w:color w:val="auto"/>
                <w:szCs w:val="21"/>
              </w:rPr>
              <w:t>有偏离</w:t>
            </w: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宋体" w:hAnsi="宋体" w:cs="宋体"/>
                <w:color w:val="auto"/>
                <w:szCs w:val="21"/>
              </w:rPr>
            </w:pPr>
            <w:r>
              <w:rPr>
                <w:rFonts w:hint="eastAsia" w:ascii="宋体" w:hAnsi="宋体" w:cs="宋体"/>
                <w:color w:val="auto"/>
                <w:szCs w:val="21"/>
              </w:rPr>
              <w:t>偏离简述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bCs/>
                <w:color w:val="auto"/>
                <w:szCs w:val="21"/>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bCs/>
                <w:color w:val="auto"/>
                <w:szCs w:val="21"/>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Fonts w:ascii="宋体" w:hAnsi="宋体" w:cs="宋体"/>
                <w:color w:val="auto"/>
                <w:szCs w:val="21"/>
              </w:rPr>
            </w:pPr>
          </w:p>
        </w:tc>
      </w:tr>
    </w:tbl>
    <w:p>
      <w:pPr>
        <w:spacing w:before="156" w:beforeLines="50" w:line="440" w:lineRule="exact"/>
        <w:ind w:left="-103" w:leftChars="-49" w:firstLine="210" w:firstLineChars="100"/>
        <w:rPr>
          <w:rFonts w:ascii="宋体" w:hAnsi="宋体" w:cs="宋体"/>
          <w:color w:val="auto"/>
          <w:szCs w:val="21"/>
        </w:rPr>
      </w:pPr>
      <w:r>
        <w:rPr>
          <w:rFonts w:hint="eastAsia" w:ascii="宋体" w:hAnsi="宋体" w:cs="宋体"/>
          <w:color w:val="auto"/>
          <w:szCs w:val="21"/>
        </w:rPr>
        <w:t>供应商：（公章）</w:t>
      </w:r>
    </w:p>
    <w:p>
      <w:pPr>
        <w:spacing w:before="156" w:beforeLines="50"/>
        <w:ind w:left="-103" w:leftChars="-49" w:firstLine="210" w:firstLineChars="100"/>
        <w:rPr>
          <w:rFonts w:ascii="宋体" w:hAnsi="宋体" w:cs="宋体"/>
          <w:color w:val="auto"/>
          <w:szCs w:val="21"/>
        </w:rPr>
      </w:pPr>
      <w:r>
        <w:rPr>
          <w:rFonts w:hint="eastAsia" w:ascii="宋体" w:hAnsi="宋体" w:cs="宋体"/>
          <w:color w:val="auto"/>
          <w:szCs w:val="21"/>
        </w:rPr>
        <w:t>法定代表人或其授权代表：（签字或加盖人名章）</w:t>
      </w:r>
    </w:p>
    <w:p>
      <w:pPr>
        <w:spacing w:before="156" w:beforeLines="50"/>
        <w:ind w:left="-103" w:leftChars="-49" w:firstLine="210" w:firstLineChars="100"/>
        <w:rPr>
          <w:rFonts w:ascii="宋体" w:hAnsi="宋体" w:cs="宋体"/>
          <w:color w:val="auto"/>
          <w:szCs w:val="21"/>
        </w:rPr>
      </w:pPr>
      <w:r>
        <w:rPr>
          <w:rFonts w:hint="eastAsia" w:ascii="宋体" w:hAnsi="宋体" w:cs="宋体"/>
          <w:color w:val="auto"/>
          <w:szCs w:val="21"/>
        </w:rPr>
        <w:t>日期：</w:t>
      </w:r>
    </w:p>
    <w:p>
      <w:pPr>
        <w:spacing w:line="360" w:lineRule="auto"/>
        <w:rPr>
          <w:rFonts w:ascii="宋体" w:hAnsi="宋体" w:cs="宋体"/>
          <w:color w:val="auto"/>
          <w:szCs w:val="21"/>
        </w:rPr>
      </w:pPr>
    </w:p>
    <w:p>
      <w:pPr>
        <w:snapToGrid w:val="0"/>
        <w:spacing w:after="156" w:afterLines="50"/>
        <w:ind w:left="430" w:hanging="430" w:hangingChars="215"/>
        <w:rPr>
          <w:rFonts w:ascii="宋体" w:hAnsi="宋体" w:cs="宋体"/>
          <w:color w:val="auto"/>
          <w:sz w:val="20"/>
          <w:szCs w:val="20"/>
        </w:rPr>
      </w:pPr>
      <w:r>
        <w:rPr>
          <w:rFonts w:hint="eastAsia" w:ascii="宋体" w:hAnsi="宋体" w:cs="宋体"/>
          <w:color w:val="auto"/>
          <w:sz w:val="20"/>
          <w:szCs w:val="20"/>
        </w:rPr>
        <w:t>注：1.对完全响应的条目在本表相应列中标注“√”。对有偏离的条目在本表相应列中标注“正偏离”或“负偏离”。仅可在“完全响应”及“有偏离”中选一标注，同时，当且仅当选取“有偏离”栏中加以标注后，才能在“偏离简述”栏中加以说明。</w:t>
      </w:r>
    </w:p>
    <w:p>
      <w:pPr>
        <w:tabs>
          <w:tab w:val="left" w:pos="1200"/>
        </w:tabs>
        <w:snapToGrid w:val="0"/>
        <w:spacing w:after="156" w:afterLines="50"/>
        <w:ind w:left="428" w:leftChars="202" w:hanging="4"/>
        <w:rPr>
          <w:rFonts w:ascii="宋体" w:hAnsi="宋体" w:cs="宋体"/>
          <w:color w:val="auto"/>
          <w:sz w:val="20"/>
          <w:szCs w:val="20"/>
        </w:rPr>
      </w:pPr>
      <w:r>
        <w:rPr>
          <w:rFonts w:hint="eastAsia" w:ascii="宋体" w:hAnsi="宋体" w:cs="宋体"/>
          <w:color w:val="auto"/>
          <w:sz w:val="20"/>
          <w:szCs w:val="20"/>
        </w:rPr>
        <w:t>2.正偏离是指应答的条件高于磋商文件要求，负偏离是指应答的条件低于磋商文件要求，正偏离项目不作扣分处理。</w:t>
      </w:r>
    </w:p>
    <w:p>
      <w:pPr>
        <w:tabs>
          <w:tab w:val="left" w:pos="1200"/>
        </w:tabs>
        <w:snapToGrid w:val="0"/>
        <w:spacing w:after="156" w:afterLines="50"/>
        <w:ind w:left="428" w:leftChars="202" w:hanging="4"/>
        <w:rPr>
          <w:rFonts w:ascii="宋体" w:hAnsi="宋体" w:cs="宋体"/>
          <w:color w:val="auto"/>
          <w:sz w:val="20"/>
          <w:szCs w:val="20"/>
        </w:rPr>
      </w:pPr>
      <w:r>
        <w:rPr>
          <w:rFonts w:hint="eastAsia" w:ascii="宋体" w:hAnsi="宋体" w:cs="宋体"/>
          <w:color w:val="auto"/>
          <w:sz w:val="20"/>
          <w:szCs w:val="20"/>
        </w:rPr>
        <w:t>3.供应商须按照用户需求书逐条完整填写响应表。如果未完整填写响应表的各项内容则视作供应商已经对磋商文件相关要求和内容完全理解并同意，其报价为在此基础上的完全价格。</w:t>
      </w:r>
    </w:p>
    <w:p>
      <w:pPr>
        <w:tabs>
          <w:tab w:val="left" w:pos="1200"/>
        </w:tabs>
        <w:snapToGrid w:val="0"/>
        <w:spacing w:after="156" w:afterLines="50"/>
        <w:ind w:left="428" w:leftChars="202" w:hanging="4"/>
        <w:rPr>
          <w:rFonts w:ascii="宋体" w:hAnsi="宋体" w:cs="宋体"/>
          <w:color w:val="auto"/>
          <w:sz w:val="20"/>
          <w:szCs w:val="20"/>
        </w:rPr>
      </w:pPr>
      <w:r>
        <w:rPr>
          <w:rFonts w:hint="eastAsia" w:ascii="宋体" w:hAnsi="宋体" w:cs="宋体"/>
          <w:color w:val="auto"/>
          <w:sz w:val="20"/>
          <w:szCs w:val="20"/>
        </w:rPr>
        <w:t>4.在采购人与成交供应商签订合同时，如成交供应商未在响应文件“响应表”中列出偏离说明，无论即将发生或已发生任何情形，均视为完全符合磋商文件要求，并写入合同。若成交供应商在合同签订前，以上述事项为借口而不履行合同签订手续及执行合同，则视作拒绝与采购人签订合同。</w:t>
      </w:r>
    </w:p>
    <w:p>
      <w:pPr>
        <w:rPr>
          <w:rFonts w:ascii="宋体" w:hAnsi="宋体" w:cs="宋体"/>
          <w:b/>
          <w:color w:val="auto"/>
          <w:sz w:val="32"/>
          <w:szCs w:val="32"/>
        </w:rPr>
      </w:pPr>
      <w:r>
        <w:rPr>
          <w:rFonts w:hint="eastAsia" w:ascii="宋体" w:hAnsi="宋体" w:cs="宋体"/>
          <w:b/>
          <w:color w:val="auto"/>
          <w:sz w:val="32"/>
          <w:szCs w:val="32"/>
        </w:rPr>
        <w:br w:type="page"/>
      </w:r>
    </w:p>
    <w:p>
      <w:pPr>
        <w:pStyle w:val="281"/>
        <w:numPr>
          <w:ilvl w:val="0"/>
          <w:numId w:val="21"/>
        </w:numPr>
        <w:spacing w:line="360" w:lineRule="auto"/>
        <w:ind w:left="1276" w:hanging="1276" w:firstLineChars="0"/>
        <w:outlineLvl w:val="1"/>
        <w:rPr>
          <w:rFonts w:ascii="宋体" w:hAnsi="宋体" w:cs="宋体"/>
          <w:b/>
          <w:color w:val="auto"/>
          <w:sz w:val="24"/>
        </w:rPr>
      </w:pPr>
      <w:bookmarkStart w:id="287" w:name="_Toc4433609"/>
      <w:bookmarkStart w:id="288" w:name="_Toc27174"/>
      <w:bookmarkStart w:id="289" w:name="_Toc3220230"/>
      <w:bookmarkStart w:id="290" w:name="_Toc157759075"/>
      <w:r>
        <w:rPr>
          <w:rFonts w:hint="eastAsia" w:ascii="宋体" w:hAnsi="宋体" w:cs="宋体"/>
          <w:b/>
          <w:color w:val="auto"/>
          <w:sz w:val="24"/>
        </w:rPr>
        <w:t>服务标准、验收等要求的响应</w:t>
      </w:r>
      <w:bookmarkEnd w:id="287"/>
      <w:bookmarkEnd w:id="288"/>
      <w:bookmarkEnd w:id="289"/>
    </w:p>
    <w:p>
      <w:pPr>
        <w:spacing w:line="360" w:lineRule="auto"/>
        <w:rPr>
          <w:rFonts w:ascii="宋体" w:hAnsi="宋体" w:cs="宋体"/>
          <w:color w:val="auto"/>
          <w:sz w:val="24"/>
        </w:rPr>
      </w:pPr>
    </w:p>
    <w:p>
      <w:pPr>
        <w:spacing w:line="360" w:lineRule="auto"/>
        <w:ind w:firstLine="495" w:firstLineChars="236"/>
        <w:rPr>
          <w:rFonts w:ascii="宋体" w:hAnsi="宋体" w:cs="宋体"/>
          <w:color w:val="auto"/>
          <w:szCs w:val="21"/>
        </w:rPr>
      </w:pPr>
      <w:r>
        <w:rPr>
          <w:rFonts w:hint="eastAsia" w:ascii="宋体" w:hAnsi="宋体" w:cs="宋体"/>
          <w:color w:val="auto"/>
          <w:szCs w:val="21"/>
        </w:rPr>
        <w:t>包括：</w:t>
      </w:r>
      <w:bookmarkEnd w:id="290"/>
      <w:r>
        <w:rPr>
          <w:rFonts w:hint="eastAsia" w:ascii="宋体" w:hAnsi="宋体" w:cs="宋体"/>
          <w:color w:val="auto"/>
          <w:szCs w:val="21"/>
        </w:rPr>
        <w:t>服务方案、服务措施及标准等</w:t>
      </w:r>
    </w:p>
    <w:p>
      <w:pPr>
        <w:spacing w:line="360" w:lineRule="auto"/>
        <w:ind w:firstLine="495" w:firstLineChars="236"/>
        <w:rPr>
          <w:rFonts w:ascii="宋体" w:hAnsi="宋体" w:cs="宋体"/>
          <w:color w:val="auto"/>
          <w:szCs w:val="21"/>
        </w:rPr>
      </w:pPr>
    </w:p>
    <w:p>
      <w:pPr>
        <w:spacing w:before="156" w:beforeLines="50" w:line="440" w:lineRule="exact"/>
        <w:ind w:left="-103" w:leftChars="-49" w:firstLine="1169" w:firstLineChars="557"/>
        <w:rPr>
          <w:rFonts w:ascii="宋体" w:hAnsi="宋体" w:cs="宋体"/>
          <w:color w:val="auto"/>
          <w:szCs w:val="21"/>
        </w:rPr>
      </w:pPr>
    </w:p>
    <w:p>
      <w:pPr>
        <w:spacing w:before="156" w:beforeLines="50" w:line="440" w:lineRule="exact"/>
        <w:ind w:left="-103" w:leftChars="-49" w:firstLine="585" w:firstLineChars="279"/>
        <w:rPr>
          <w:rFonts w:ascii="宋体" w:hAnsi="宋体" w:cs="宋体"/>
          <w:color w:val="auto"/>
          <w:szCs w:val="21"/>
        </w:rPr>
      </w:pPr>
      <w:r>
        <w:rPr>
          <w:rFonts w:hint="eastAsia" w:ascii="宋体" w:hAnsi="宋体" w:cs="宋体"/>
          <w:color w:val="auto"/>
          <w:szCs w:val="21"/>
        </w:rPr>
        <w:t>供应商：（公章）</w:t>
      </w:r>
    </w:p>
    <w:p>
      <w:pPr>
        <w:spacing w:before="156" w:beforeLines="50" w:line="440" w:lineRule="exact"/>
        <w:ind w:left="1037" w:leftChars="270" w:hanging="470" w:hangingChars="224"/>
        <w:rPr>
          <w:rFonts w:ascii="宋体" w:hAnsi="宋体" w:cs="宋体"/>
          <w:color w:val="auto"/>
          <w:szCs w:val="21"/>
        </w:rPr>
      </w:pPr>
      <w:r>
        <w:rPr>
          <w:rFonts w:hint="eastAsia" w:ascii="宋体" w:hAnsi="宋体" w:cs="宋体"/>
          <w:color w:val="auto"/>
          <w:szCs w:val="21"/>
        </w:rPr>
        <w:t>法定代表人或其授权代表：（签字或加盖人名章）</w:t>
      </w:r>
    </w:p>
    <w:p>
      <w:pPr>
        <w:spacing w:before="156" w:beforeLines="50" w:line="440" w:lineRule="exact"/>
        <w:ind w:left="1037" w:leftChars="270" w:hanging="470" w:hangingChars="224"/>
        <w:rPr>
          <w:rFonts w:ascii="宋体" w:hAnsi="宋体" w:cs="宋体"/>
          <w:color w:val="auto"/>
          <w:szCs w:val="21"/>
        </w:rPr>
      </w:pPr>
      <w:r>
        <w:rPr>
          <w:rFonts w:hint="eastAsia" w:ascii="宋体" w:hAnsi="宋体" w:cs="宋体"/>
          <w:color w:val="auto"/>
          <w:szCs w:val="21"/>
        </w:rPr>
        <w:t>日期：</w:t>
      </w:r>
    </w:p>
    <w:p>
      <w:pPr>
        <w:spacing w:before="156" w:beforeLines="50" w:line="440" w:lineRule="exact"/>
        <w:ind w:left="1105" w:leftChars="526" w:firstLine="15"/>
        <w:rPr>
          <w:rFonts w:ascii="宋体" w:hAnsi="宋体" w:cs="宋体"/>
          <w:color w:val="auto"/>
        </w:rPr>
      </w:pPr>
      <w:r>
        <w:rPr>
          <w:rFonts w:hint="eastAsia" w:ascii="宋体" w:hAnsi="宋体" w:cs="宋体"/>
          <w:color w:val="auto"/>
        </w:rPr>
        <w:br w:type="page"/>
      </w:r>
    </w:p>
    <w:p>
      <w:pPr>
        <w:pStyle w:val="281"/>
        <w:numPr>
          <w:ilvl w:val="0"/>
          <w:numId w:val="21"/>
        </w:numPr>
        <w:spacing w:line="360" w:lineRule="auto"/>
        <w:ind w:left="1276" w:hanging="1276" w:firstLineChars="0"/>
        <w:outlineLvl w:val="1"/>
        <w:rPr>
          <w:rFonts w:ascii="宋体" w:hAnsi="宋体" w:cs="宋体"/>
          <w:b/>
          <w:color w:val="auto"/>
          <w:sz w:val="24"/>
        </w:rPr>
      </w:pPr>
      <w:bookmarkStart w:id="291" w:name="_Toc3220231"/>
      <w:bookmarkStart w:id="292" w:name="_Toc16361"/>
      <w:bookmarkStart w:id="293" w:name="_Toc4433610"/>
      <w:r>
        <w:rPr>
          <w:rFonts w:hint="eastAsia" w:ascii="宋体" w:hAnsi="宋体" w:cs="宋体"/>
          <w:b/>
          <w:color w:val="auto"/>
          <w:sz w:val="24"/>
        </w:rPr>
        <w:t>拟派服务实施人员表和资历表</w:t>
      </w:r>
      <w:bookmarkEnd w:id="291"/>
      <w:bookmarkEnd w:id="292"/>
      <w:bookmarkEnd w:id="293"/>
    </w:p>
    <w:p>
      <w:pPr>
        <w:spacing w:before="156" w:line="360" w:lineRule="auto"/>
        <w:rPr>
          <w:rFonts w:ascii="宋体" w:hAnsi="宋体" w:cs="宋体"/>
          <w:b/>
          <w:i/>
          <w:iCs/>
          <w:color w:val="auto"/>
          <w:sz w:val="24"/>
        </w:rPr>
      </w:pPr>
    </w:p>
    <w:p>
      <w:pPr>
        <w:widowControl/>
        <w:jc w:val="center"/>
        <w:outlineLvl w:val="2"/>
        <w:rPr>
          <w:rFonts w:ascii="宋体" w:hAnsi="宋体" w:cs="宋体"/>
          <w:color w:val="auto"/>
          <w:szCs w:val="21"/>
        </w:rPr>
      </w:pPr>
      <w:bookmarkStart w:id="294" w:name="_Toc4433611"/>
      <w:bookmarkStart w:id="295" w:name="_Toc3220232"/>
      <w:r>
        <w:rPr>
          <w:rFonts w:hint="eastAsia" w:ascii="宋体" w:hAnsi="宋体" w:cs="宋体"/>
          <w:color w:val="auto"/>
          <w:szCs w:val="21"/>
        </w:rPr>
        <w:t>14-1 拟派服务实施人员表</w:t>
      </w:r>
      <w:bookmarkEnd w:id="294"/>
      <w:bookmarkEnd w:id="295"/>
    </w:p>
    <w:p>
      <w:pPr>
        <w:pStyle w:val="438"/>
        <w:snapToGrid w:val="0"/>
        <w:spacing w:line="360" w:lineRule="auto"/>
        <w:jc w:val="both"/>
        <w:rPr>
          <w:rFonts w:ascii="宋体" w:hAnsi="宋体" w:cs="宋体"/>
          <w:b/>
          <w:color w:val="auto"/>
          <w:sz w:val="21"/>
          <w:szCs w:val="21"/>
        </w:rPr>
      </w:pPr>
      <w:r>
        <w:rPr>
          <w:rFonts w:hint="eastAsia" w:ascii="宋体" w:hAnsi="宋体" w:cs="宋体"/>
          <w:color w:val="auto"/>
          <w:sz w:val="21"/>
          <w:szCs w:val="21"/>
        </w:rPr>
        <w:t>项目名称：</w:t>
      </w:r>
    </w:p>
    <w:p>
      <w:pPr>
        <w:pStyle w:val="438"/>
        <w:snapToGrid w:val="0"/>
        <w:spacing w:line="360" w:lineRule="auto"/>
        <w:jc w:val="both"/>
        <w:rPr>
          <w:rFonts w:ascii="宋体" w:hAnsi="宋体" w:cs="宋体"/>
          <w:b/>
          <w:color w:val="auto"/>
          <w:sz w:val="21"/>
          <w:szCs w:val="21"/>
        </w:rPr>
      </w:pPr>
      <w:r>
        <w:rPr>
          <w:rFonts w:hint="eastAsia" w:ascii="宋体" w:hAnsi="宋体" w:cs="宋体"/>
          <w:color w:val="auto"/>
          <w:sz w:val="21"/>
          <w:szCs w:val="21"/>
        </w:rPr>
        <w:t>项目编号：</w:t>
      </w:r>
    </w:p>
    <w:tbl>
      <w:tblPr>
        <w:tblStyle w:val="74"/>
        <w:tblW w:w="96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34"/>
        <w:gridCol w:w="821"/>
        <w:gridCol w:w="1352"/>
        <w:gridCol w:w="961"/>
        <w:gridCol w:w="959"/>
        <w:gridCol w:w="959"/>
        <w:gridCol w:w="959"/>
        <w:gridCol w:w="9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tcBorders>
              <w:top w:val="single" w:color="auto" w:sz="12" w:space="0"/>
              <w:left w:val="single" w:color="auto" w:sz="12"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类别</w:t>
            </w:r>
          </w:p>
        </w:tc>
        <w:tc>
          <w:tcPr>
            <w:tcW w:w="1134"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姓名</w:t>
            </w:r>
          </w:p>
        </w:tc>
        <w:tc>
          <w:tcPr>
            <w:tcW w:w="821"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性别</w:t>
            </w:r>
          </w:p>
        </w:tc>
        <w:tc>
          <w:tcPr>
            <w:tcW w:w="1352"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单位</w:t>
            </w:r>
          </w:p>
        </w:tc>
        <w:tc>
          <w:tcPr>
            <w:tcW w:w="961"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专业</w:t>
            </w:r>
          </w:p>
        </w:tc>
        <w:tc>
          <w:tcPr>
            <w:tcW w:w="959"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职务</w:t>
            </w:r>
          </w:p>
        </w:tc>
        <w:tc>
          <w:tcPr>
            <w:tcW w:w="959"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职称</w:t>
            </w:r>
          </w:p>
        </w:tc>
        <w:tc>
          <w:tcPr>
            <w:tcW w:w="959"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主要资历</w:t>
            </w:r>
          </w:p>
        </w:tc>
        <w:tc>
          <w:tcPr>
            <w:tcW w:w="957" w:type="dxa"/>
            <w:tcBorders>
              <w:top w:val="single" w:color="auto" w:sz="12" w:space="0"/>
              <w:left w:val="single" w:color="auto" w:sz="4" w:space="0"/>
              <w:bottom w:val="single" w:color="auto" w:sz="4" w:space="0"/>
              <w:right w:val="single" w:color="auto" w:sz="12" w:space="0"/>
            </w:tcBorders>
            <w:vAlign w:val="center"/>
          </w:tcPr>
          <w:p>
            <w:pPr>
              <w:jc w:val="center"/>
              <w:rPr>
                <w:rFonts w:ascii="宋体" w:hAnsi="宋体" w:cs="宋体"/>
                <w:color w:val="auto"/>
                <w:szCs w:val="21"/>
              </w:rPr>
            </w:pPr>
            <w:r>
              <w:rPr>
                <w:rFonts w:hint="eastAsia" w:ascii="宋体" w:hAnsi="宋体" w:cs="宋体"/>
                <w:color w:val="auto"/>
                <w:szCs w:val="21"/>
              </w:rPr>
              <w:t>经验及承担过的项目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项目负责人</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35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96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957"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项目技术主管</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35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96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957"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restart"/>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其他人员</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35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96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957"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35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96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957"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35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96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957"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35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96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957"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526"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35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96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957"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35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96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957"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35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96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95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rPr>
            </w:pPr>
          </w:p>
        </w:tc>
        <w:tc>
          <w:tcPr>
            <w:tcW w:w="957"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tcBorders>
              <w:top w:val="single" w:color="auto" w:sz="4" w:space="0"/>
              <w:left w:val="single" w:color="auto" w:sz="12" w:space="0"/>
              <w:bottom w:val="single" w:color="auto" w:sz="12" w:space="0"/>
              <w:right w:val="single" w:color="auto" w:sz="4" w:space="0"/>
            </w:tcBorders>
            <w:vAlign w:val="center"/>
          </w:tcPr>
          <w:p>
            <w:pPr>
              <w:jc w:val="center"/>
              <w:rPr>
                <w:rFonts w:ascii="宋体" w:hAnsi="宋体" w:cs="宋体"/>
                <w:color w:val="auto"/>
                <w:szCs w:val="21"/>
              </w:rPr>
            </w:pPr>
          </w:p>
        </w:tc>
        <w:tc>
          <w:tcPr>
            <w:tcW w:w="1134" w:type="dxa"/>
            <w:tcBorders>
              <w:top w:val="single" w:color="auto" w:sz="4" w:space="0"/>
              <w:left w:val="single" w:color="auto" w:sz="4" w:space="0"/>
              <w:bottom w:val="single" w:color="auto" w:sz="12" w:space="0"/>
              <w:right w:val="single" w:color="auto" w:sz="4" w:space="0"/>
            </w:tcBorders>
            <w:vAlign w:val="center"/>
          </w:tcPr>
          <w:p>
            <w:pPr>
              <w:rPr>
                <w:rFonts w:ascii="宋体" w:hAnsi="宋体" w:cs="宋体"/>
                <w:color w:val="auto"/>
                <w:szCs w:val="21"/>
              </w:rPr>
            </w:pPr>
          </w:p>
        </w:tc>
        <w:tc>
          <w:tcPr>
            <w:tcW w:w="821" w:type="dxa"/>
            <w:tcBorders>
              <w:top w:val="single" w:color="auto" w:sz="4" w:space="0"/>
              <w:left w:val="single" w:color="auto" w:sz="4" w:space="0"/>
              <w:bottom w:val="single" w:color="auto" w:sz="12" w:space="0"/>
              <w:right w:val="single" w:color="auto" w:sz="4" w:space="0"/>
            </w:tcBorders>
            <w:vAlign w:val="center"/>
          </w:tcPr>
          <w:p>
            <w:pPr>
              <w:rPr>
                <w:rFonts w:ascii="宋体" w:hAnsi="宋体" w:cs="宋体"/>
                <w:color w:val="auto"/>
                <w:szCs w:val="21"/>
              </w:rPr>
            </w:pPr>
          </w:p>
        </w:tc>
        <w:tc>
          <w:tcPr>
            <w:tcW w:w="1352" w:type="dxa"/>
            <w:tcBorders>
              <w:top w:val="single" w:color="auto" w:sz="4" w:space="0"/>
              <w:left w:val="single" w:color="auto" w:sz="4" w:space="0"/>
              <w:bottom w:val="single" w:color="auto" w:sz="12" w:space="0"/>
              <w:right w:val="single" w:color="auto" w:sz="4" w:space="0"/>
            </w:tcBorders>
            <w:vAlign w:val="center"/>
          </w:tcPr>
          <w:p>
            <w:pPr>
              <w:rPr>
                <w:rFonts w:ascii="宋体" w:hAnsi="宋体" w:cs="宋体"/>
                <w:color w:val="auto"/>
                <w:szCs w:val="21"/>
              </w:rPr>
            </w:pPr>
          </w:p>
        </w:tc>
        <w:tc>
          <w:tcPr>
            <w:tcW w:w="961" w:type="dxa"/>
            <w:tcBorders>
              <w:top w:val="single" w:color="auto" w:sz="4" w:space="0"/>
              <w:left w:val="single" w:color="auto" w:sz="4" w:space="0"/>
              <w:bottom w:val="single" w:color="auto" w:sz="12" w:space="0"/>
              <w:right w:val="single" w:color="auto" w:sz="4" w:space="0"/>
            </w:tcBorders>
          </w:tcPr>
          <w:p>
            <w:pPr>
              <w:rPr>
                <w:rFonts w:ascii="宋体" w:hAnsi="宋体" w:cs="宋体"/>
                <w:color w:val="auto"/>
                <w:szCs w:val="21"/>
              </w:rPr>
            </w:pPr>
          </w:p>
        </w:tc>
        <w:tc>
          <w:tcPr>
            <w:tcW w:w="959" w:type="dxa"/>
            <w:tcBorders>
              <w:top w:val="single" w:color="auto" w:sz="4" w:space="0"/>
              <w:left w:val="single" w:color="auto" w:sz="4" w:space="0"/>
              <w:bottom w:val="single" w:color="auto" w:sz="12" w:space="0"/>
              <w:right w:val="single" w:color="auto" w:sz="4" w:space="0"/>
            </w:tcBorders>
          </w:tcPr>
          <w:p>
            <w:pPr>
              <w:rPr>
                <w:rFonts w:ascii="宋体" w:hAnsi="宋体" w:cs="宋体"/>
                <w:color w:val="auto"/>
                <w:szCs w:val="21"/>
              </w:rPr>
            </w:pPr>
          </w:p>
        </w:tc>
        <w:tc>
          <w:tcPr>
            <w:tcW w:w="959" w:type="dxa"/>
            <w:tcBorders>
              <w:top w:val="single" w:color="auto" w:sz="4" w:space="0"/>
              <w:left w:val="single" w:color="auto" w:sz="4" w:space="0"/>
              <w:bottom w:val="single" w:color="auto" w:sz="12" w:space="0"/>
              <w:right w:val="single" w:color="auto" w:sz="4" w:space="0"/>
            </w:tcBorders>
          </w:tcPr>
          <w:p>
            <w:pPr>
              <w:rPr>
                <w:rFonts w:ascii="宋体" w:hAnsi="宋体" w:cs="宋体"/>
                <w:color w:val="auto"/>
                <w:szCs w:val="21"/>
              </w:rPr>
            </w:pPr>
          </w:p>
        </w:tc>
        <w:tc>
          <w:tcPr>
            <w:tcW w:w="959" w:type="dxa"/>
            <w:tcBorders>
              <w:top w:val="single" w:color="auto" w:sz="4" w:space="0"/>
              <w:left w:val="single" w:color="auto" w:sz="4" w:space="0"/>
              <w:bottom w:val="single" w:color="auto" w:sz="12" w:space="0"/>
              <w:right w:val="single" w:color="auto" w:sz="4" w:space="0"/>
            </w:tcBorders>
          </w:tcPr>
          <w:p>
            <w:pPr>
              <w:rPr>
                <w:rFonts w:ascii="宋体" w:hAnsi="宋体" w:cs="宋体"/>
                <w:color w:val="auto"/>
                <w:szCs w:val="21"/>
              </w:rPr>
            </w:pPr>
          </w:p>
        </w:tc>
        <w:tc>
          <w:tcPr>
            <w:tcW w:w="957" w:type="dxa"/>
            <w:tcBorders>
              <w:top w:val="single" w:color="auto" w:sz="4" w:space="0"/>
              <w:left w:val="single" w:color="auto" w:sz="4" w:space="0"/>
              <w:bottom w:val="single" w:color="auto" w:sz="12" w:space="0"/>
              <w:right w:val="single" w:color="auto" w:sz="12" w:space="0"/>
            </w:tcBorders>
            <w:vAlign w:val="center"/>
          </w:tcPr>
          <w:p>
            <w:pPr>
              <w:rPr>
                <w:rFonts w:ascii="宋体" w:hAnsi="宋体" w:cs="宋体"/>
                <w:color w:val="auto"/>
                <w:szCs w:val="21"/>
              </w:rPr>
            </w:pPr>
          </w:p>
        </w:tc>
      </w:tr>
    </w:tbl>
    <w:p>
      <w:pPr>
        <w:ind w:left="420" w:hanging="420" w:hangingChars="200"/>
        <w:jc w:val="left"/>
        <w:rPr>
          <w:rFonts w:ascii="宋体" w:hAnsi="宋体" w:cs="宋体"/>
          <w:bCs/>
          <w:color w:val="auto"/>
          <w:szCs w:val="21"/>
        </w:rPr>
      </w:pPr>
    </w:p>
    <w:p>
      <w:pPr>
        <w:ind w:left="420" w:hanging="420" w:hangingChars="200"/>
        <w:jc w:val="left"/>
        <w:rPr>
          <w:rFonts w:ascii="宋体" w:hAnsi="宋体" w:cs="宋体"/>
          <w:bCs/>
          <w:color w:val="auto"/>
          <w:szCs w:val="21"/>
        </w:rPr>
      </w:pPr>
      <w:r>
        <w:rPr>
          <w:rFonts w:hint="eastAsia" w:ascii="宋体" w:hAnsi="宋体" w:cs="宋体"/>
          <w:bCs/>
          <w:color w:val="auto"/>
          <w:szCs w:val="21"/>
        </w:rPr>
        <w:t>注：供应商应附相应的证明材料（如：社保缴纳证明、职称或资格证书）。项目组主要人员（项目负责人、技术主管）须按照附件14-2单独列表详细说明，且在项目执行过程中未得到采购人书面同意不得更换。</w:t>
      </w:r>
    </w:p>
    <w:p>
      <w:pPr>
        <w:ind w:left="420" w:hanging="420" w:hangingChars="200"/>
        <w:jc w:val="left"/>
        <w:rPr>
          <w:rFonts w:ascii="宋体" w:hAnsi="宋体" w:cs="宋体"/>
          <w:bCs/>
          <w:color w:val="auto"/>
          <w:szCs w:val="21"/>
        </w:rPr>
      </w:pPr>
    </w:p>
    <w:p>
      <w:pPr>
        <w:pStyle w:val="380"/>
        <w:adjustRightInd/>
        <w:snapToGrid/>
        <w:spacing w:after="0"/>
        <w:rPr>
          <w:rFonts w:ascii="宋体" w:hAnsi="宋体" w:cs="宋体"/>
          <w:color w:val="auto"/>
          <w:sz w:val="21"/>
          <w:szCs w:val="21"/>
          <w:u w:val="single"/>
        </w:rPr>
      </w:pPr>
      <w:r>
        <w:rPr>
          <w:rFonts w:hint="eastAsia" w:ascii="宋体" w:hAnsi="宋体" w:cs="宋体"/>
          <w:color w:val="auto"/>
          <w:sz w:val="21"/>
          <w:szCs w:val="21"/>
        </w:rPr>
        <w:t>供应商名称：</w:t>
      </w:r>
      <w:r>
        <w:rPr>
          <w:rFonts w:hint="eastAsia" w:ascii="宋体" w:hAnsi="宋体" w:cs="宋体"/>
          <w:color w:val="auto"/>
          <w:sz w:val="21"/>
          <w:szCs w:val="21"/>
          <w:u w:val="single"/>
        </w:rPr>
        <w:t xml:space="preserve">        公章         </w:t>
      </w:r>
    </w:p>
    <w:p>
      <w:pPr>
        <w:rPr>
          <w:rFonts w:ascii="宋体" w:hAnsi="宋体" w:cs="宋体"/>
          <w:color w:val="auto"/>
          <w:szCs w:val="21"/>
          <w:u w:val="single"/>
        </w:rPr>
      </w:pPr>
      <w:r>
        <w:rPr>
          <w:rFonts w:hint="eastAsia" w:ascii="宋体" w:hAnsi="宋体" w:cs="宋体"/>
          <w:color w:val="auto"/>
          <w:szCs w:val="21"/>
        </w:rPr>
        <w:t>授权代表：</w:t>
      </w:r>
      <w:r>
        <w:rPr>
          <w:rFonts w:hint="eastAsia" w:ascii="宋体" w:hAnsi="宋体" w:cs="宋体"/>
          <w:color w:val="auto"/>
          <w:szCs w:val="21"/>
          <w:u w:val="single"/>
        </w:rPr>
        <w:t xml:space="preserve">     签字或加盖人名章             </w:t>
      </w:r>
    </w:p>
    <w:p>
      <w:pPr>
        <w:jc w:val="left"/>
        <w:rPr>
          <w:rFonts w:ascii="宋体" w:hAnsi="宋体" w:cs="宋体"/>
          <w:color w:val="auto"/>
          <w:szCs w:val="21"/>
        </w:rPr>
      </w:pPr>
      <w:r>
        <w:rPr>
          <w:rFonts w:hint="eastAsia" w:ascii="宋体" w:hAnsi="宋体" w:cs="宋体"/>
          <w:color w:val="auto"/>
          <w:szCs w:val="21"/>
        </w:rPr>
        <w:t>日期 ：</w:t>
      </w:r>
    </w:p>
    <w:p>
      <w:pPr>
        <w:widowControl/>
        <w:jc w:val="center"/>
        <w:outlineLvl w:val="2"/>
        <w:rPr>
          <w:rFonts w:ascii="宋体" w:hAnsi="宋体" w:cs="宋体"/>
          <w:color w:val="auto"/>
          <w:sz w:val="30"/>
          <w:szCs w:val="30"/>
        </w:rPr>
      </w:pPr>
      <w:r>
        <w:rPr>
          <w:rFonts w:hint="eastAsia" w:ascii="宋体" w:hAnsi="宋体" w:cs="宋体"/>
          <w:color w:val="auto"/>
          <w:sz w:val="24"/>
        </w:rPr>
        <w:br w:type="page"/>
      </w:r>
      <w:bookmarkStart w:id="296" w:name="_Toc4433612"/>
      <w:bookmarkStart w:id="297" w:name="_Toc3220233"/>
      <w:r>
        <w:rPr>
          <w:rFonts w:hint="eastAsia" w:ascii="宋体" w:hAnsi="宋体" w:cs="宋体"/>
          <w:color w:val="auto"/>
          <w:sz w:val="24"/>
          <w:szCs w:val="30"/>
        </w:rPr>
        <w:t>14-2 拟派人员资历表</w:t>
      </w:r>
      <w:bookmarkEnd w:id="296"/>
      <w:bookmarkEnd w:id="297"/>
    </w:p>
    <w:p>
      <w:pPr>
        <w:pStyle w:val="438"/>
        <w:snapToGrid w:val="0"/>
        <w:spacing w:line="360" w:lineRule="auto"/>
        <w:jc w:val="both"/>
        <w:rPr>
          <w:rFonts w:ascii="宋体" w:hAnsi="宋体" w:cs="宋体"/>
          <w:b/>
          <w:color w:val="auto"/>
          <w:sz w:val="21"/>
          <w:szCs w:val="21"/>
        </w:rPr>
      </w:pPr>
      <w:r>
        <w:rPr>
          <w:rFonts w:hint="eastAsia" w:ascii="宋体" w:hAnsi="宋体" w:cs="宋体"/>
          <w:color w:val="auto"/>
          <w:sz w:val="21"/>
          <w:szCs w:val="21"/>
        </w:rPr>
        <w:t>项目名称：</w:t>
      </w:r>
    </w:p>
    <w:p>
      <w:pPr>
        <w:pStyle w:val="438"/>
        <w:snapToGrid w:val="0"/>
        <w:spacing w:line="360" w:lineRule="auto"/>
        <w:jc w:val="both"/>
        <w:rPr>
          <w:rFonts w:ascii="宋体" w:hAnsi="宋体" w:cs="宋体"/>
          <w:b/>
          <w:color w:val="auto"/>
          <w:sz w:val="21"/>
          <w:szCs w:val="21"/>
        </w:rPr>
      </w:pPr>
      <w:r>
        <w:rPr>
          <w:rFonts w:hint="eastAsia" w:ascii="宋体" w:hAnsi="宋体" w:cs="宋体"/>
          <w:color w:val="auto"/>
          <w:sz w:val="21"/>
          <w:szCs w:val="21"/>
        </w:rPr>
        <w:t>项目编号：</w:t>
      </w:r>
    </w:p>
    <w:tbl>
      <w:tblPr>
        <w:tblStyle w:val="74"/>
        <w:tblW w:w="946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078"/>
        <w:gridCol w:w="1786"/>
        <w:gridCol w:w="1153"/>
        <w:gridCol w:w="1888"/>
        <w:gridCol w:w="1435"/>
        <w:gridCol w:w="350"/>
        <w:gridCol w:w="17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00" w:hRule="atLeast"/>
        </w:trPr>
        <w:tc>
          <w:tcPr>
            <w:tcW w:w="1078" w:type="dxa"/>
            <w:tcBorders>
              <w:top w:val="single" w:color="auto" w:sz="12"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rPr>
            </w:pPr>
            <w:r>
              <w:rPr>
                <w:rFonts w:hint="eastAsia" w:ascii="宋体" w:hAnsi="宋体" w:cs="宋体"/>
                <w:color w:val="auto"/>
                <w:szCs w:val="21"/>
              </w:rPr>
              <w:t>姓名</w:t>
            </w:r>
          </w:p>
        </w:tc>
        <w:tc>
          <w:tcPr>
            <w:tcW w:w="1786" w:type="dxa"/>
            <w:tcBorders>
              <w:top w:val="single" w:color="auto" w:sz="12"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p>
        </w:tc>
        <w:tc>
          <w:tcPr>
            <w:tcW w:w="1153" w:type="dxa"/>
            <w:tcBorders>
              <w:top w:val="single" w:color="auto" w:sz="12"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r>
              <w:rPr>
                <w:rFonts w:hint="eastAsia" w:ascii="宋体" w:hAnsi="宋体" w:cs="宋体"/>
                <w:color w:val="auto"/>
                <w:szCs w:val="21"/>
              </w:rPr>
              <w:t>职务</w:t>
            </w:r>
          </w:p>
        </w:tc>
        <w:tc>
          <w:tcPr>
            <w:tcW w:w="1888" w:type="dxa"/>
            <w:tcBorders>
              <w:top w:val="single" w:color="auto" w:sz="12"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p>
        </w:tc>
        <w:tc>
          <w:tcPr>
            <w:tcW w:w="1785" w:type="dxa"/>
            <w:gridSpan w:val="2"/>
            <w:tcBorders>
              <w:top w:val="single" w:color="auto" w:sz="12" w:space="0"/>
              <w:left w:val="single" w:color="auto" w:sz="4" w:space="0"/>
              <w:bottom w:val="single" w:color="auto" w:sz="4" w:space="0"/>
              <w:right w:val="single" w:color="auto" w:sz="4" w:space="0"/>
            </w:tcBorders>
            <w:vAlign w:val="center"/>
          </w:tcPr>
          <w:p>
            <w:pPr>
              <w:snapToGrid w:val="0"/>
              <w:ind w:left="57"/>
              <w:jc w:val="center"/>
              <w:rPr>
                <w:rFonts w:ascii="宋体" w:hAnsi="宋体" w:cs="宋体"/>
                <w:color w:val="auto"/>
                <w:szCs w:val="21"/>
              </w:rPr>
            </w:pPr>
            <w:r>
              <w:rPr>
                <w:rFonts w:hint="eastAsia" w:ascii="宋体" w:hAnsi="宋体" w:cs="宋体"/>
                <w:color w:val="auto"/>
                <w:szCs w:val="21"/>
              </w:rPr>
              <w:t>职称</w:t>
            </w:r>
          </w:p>
        </w:tc>
        <w:tc>
          <w:tcPr>
            <w:tcW w:w="1778" w:type="dxa"/>
            <w:tcBorders>
              <w:top w:val="single" w:color="auto" w:sz="12"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55" w:hRule="atLeast"/>
        </w:trPr>
        <w:tc>
          <w:tcPr>
            <w:tcW w:w="107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rPr>
            </w:pPr>
            <w:r>
              <w:rPr>
                <w:rFonts w:hint="eastAsia" w:ascii="宋体" w:hAnsi="宋体" w:cs="宋体"/>
                <w:color w:val="auto"/>
                <w:szCs w:val="21"/>
              </w:rPr>
              <w:t>年龄</w:t>
            </w:r>
          </w:p>
        </w:tc>
        <w:tc>
          <w:tcPr>
            <w:tcW w:w="17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r>
              <w:rPr>
                <w:rFonts w:hint="eastAsia" w:ascii="宋体" w:hAnsi="宋体" w:cs="宋体"/>
                <w:color w:val="auto"/>
                <w:szCs w:val="21"/>
              </w:rPr>
              <w:t>拟任职</w:t>
            </w:r>
          </w:p>
        </w:tc>
        <w:tc>
          <w:tcPr>
            <w:tcW w:w="18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Cs w:val="21"/>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pPr>
              <w:snapToGrid w:val="0"/>
              <w:ind w:left="192"/>
              <w:jc w:val="center"/>
              <w:rPr>
                <w:rFonts w:ascii="宋体" w:hAnsi="宋体" w:cs="宋体"/>
                <w:color w:val="auto"/>
                <w:szCs w:val="21"/>
              </w:rPr>
            </w:pPr>
            <w:r>
              <w:rPr>
                <w:rFonts w:hint="eastAsia" w:ascii="宋体" w:hAnsi="宋体" w:cs="宋体"/>
                <w:color w:val="auto"/>
                <w:szCs w:val="21"/>
              </w:rPr>
              <w:t>单位任职时间</w:t>
            </w:r>
          </w:p>
        </w:tc>
        <w:tc>
          <w:tcPr>
            <w:tcW w:w="1778"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60" w:hRule="atLeast"/>
        </w:trPr>
        <w:tc>
          <w:tcPr>
            <w:tcW w:w="9468" w:type="dxa"/>
            <w:gridSpan w:val="7"/>
            <w:tcBorders>
              <w:top w:val="single" w:color="auto" w:sz="4" w:space="0"/>
              <w:left w:val="single" w:color="auto" w:sz="12" w:space="0"/>
              <w:bottom w:val="single" w:color="auto" w:sz="4" w:space="0"/>
              <w:right w:val="single" w:color="auto" w:sz="12" w:space="0"/>
            </w:tcBorders>
          </w:tcPr>
          <w:p>
            <w:pPr>
              <w:snapToGrid w:val="0"/>
              <w:rPr>
                <w:rFonts w:ascii="宋体" w:hAnsi="宋体" w:cs="宋体"/>
                <w:color w:val="auto"/>
                <w:szCs w:val="21"/>
              </w:rPr>
            </w:pPr>
            <w:r>
              <w:rPr>
                <w:rFonts w:hint="eastAsia" w:ascii="宋体" w:hAnsi="宋体" w:cs="宋体"/>
                <w:color w:val="auto"/>
                <w:szCs w:val="21"/>
              </w:rPr>
              <w:t>学历（毕业学校、时间、专业）及取得的专业认证情况：</w:t>
            </w:r>
          </w:p>
          <w:p>
            <w:pPr>
              <w:snapToGrid w:val="0"/>
              <w:rPr>
                <w:rFonts w:ascii="宋体" w:hAnsi="宋体" w:cs="宋体"/>
                <w:color w:val="auto"/>
                <w:szCs w:val="21"/>
              </w:rPr>
            </w:pPr>
          </w:p>
          <w:p>
            <w:pPr>
              <w:snapToGrid w:val="0"/>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0" w:hRule="atLeast"/>
        </w:trPr>
        <w:tc>
          <w:tcPr>
            <w:tcW w:w="7340" w:type="dxa"/>
            <w:gridSpan w:val="5"/>
            <w:tcBorders>
              <w:top w:val="single" w:color="auto" w:sz="4" w:space="0"/>
              <w:left w:val="single" w:color="auto" w:sz="12" w:space="0"/>
              <w:bottom w:val="single" w:color="auto" w:sz="4" w:space="0"/>
              <w:right w:val="single" w:color="auto" w:sz="4" w:space="0"/>
            </w:tcBorders>
            <w:vAlign w:val="center"/>
          </w:tcPr>
          <w:p>
            <w:pPr>
              <w:snapToGrid w:val="0"/>
              <w:jc w:val="center"/>
              <w:rPr>
                <w:rFonts w:ascii="宋体" w:hAnsi="宋体" w:cs="宋体"/>
                <w:color w:val="auto"/>
                <w:szCs w:val="21"/>
              </w:rPr>
            </w:pPr>
            <w:r>
              <w:rPr>
                <w:rFonts w:hint="eastAsia" w:ascii="宋体" w:hAnsi="宋体" w:cs="宋体"/>
                <w:color w:val="auto"/>
                <w:szCs w:val="21"/>
              </w:rPr>
              <w:t>参加过的主要项目</w:t>
            </w:r>
          </w:p>
        </w:tc>
        <w:tc>
          <w:tcPr>
            <w:tcW w:w="2128"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ascii="宋体" w:hAnsi="宋体" w:cs="宋体"/>
                <w:color w:val="auto"/>
                <w:szCs w:val="21"/>
              </w:rPr>
            </w:pPr>
            <w:r>
              <w:rPr>
                <w:rFonts w:hint="eastAsia" w:ascii="宋体" w:hAnsi="宋体" w:cs="宋体"/>
                <w:color w:val="auto"/>
                <w:szCs w:val="21"/>
              </w:rPr>
              <w:t>担任职务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57" w:hRule="atLeast"/>
        </w:trPr>
        <w:tc>
          <w:tcPr>
            <w:tcW w:w="7340" w:type="dxa"/>
            <w:gridSpan w:val="5"/>
            <w:tcBorders>
              <w:top w:val="single" w:color="auto" w:sz="4" w:space="0"/>
              <w:left w:val="single" w:color="auto" w:sz="12" w:space="0"/>
              <w:bottom w:val="single" w:color="auto" w:sz="4" w:space="0"/>
              <w:right w:val="single" w:color="auto" w:sz="4" w:space="0"/>
            </w:tcBorders>
            <w:vAlign w:val="center"/>
          </w:tcPr>
          <w:p>
            <w:pPr>
              <w:snapToGrid w:val="0"/>
              <w:rPr>
                <w:rFonts w:ascii="宋体" w:hAnsi="宋体" w:cs="宋体"/>
                <w:color w:val="auto"/>
                <w:szCs w:val="21"/>
              </w:rPr>
            </w:pPr>
            <w:r>
              <w:rPr>
                <w:rFonts w:hint="eastAsia" w:ascii="宋体" w:hAnsi="宋体" w:cs="宋体"/>
                <w:color w:val="auto"/>
                <w:szCs w:val="21"/>
              </w:rPr>
              <w:t>1.业主单位名称</w:t>
            </w:r>
          </w:p>
          <w:p>
            <w:pPr>
              <w:snapToGrid w:val="0"/>
              <w:rPr>
                <w:rFonts w:ascii="宋体" w:hAnsi="宋体" w:cs="宋体"/>
                <w:color w:val="auto"/>
                <w:szCs w:val="21"/>
              </w:rPr>
            </w:pPr>
            <w:r>
              <w:rPr>
                <w:rFonts w:hint="eastAsia" w:ascii="宋体" w:hAnsi="宋体" w:cs="宋体"/>
                <w:color w:val="auto"/>
                <w:szCs w:val="21"/>
              </w:rPr>
              <w:t>2.项目名称</w:t>
            </w:r>
          </w:p>
          <w:p>
            <w:pPr>
              <w:snapToGrid w:val="0"/>
              <w:rPr>
                <w:rFonts w:ascii="宋体" w:hAnsi="宋体" w:cs="宋体"/>
                <w:color w:val="auto"/>
                <w:szCs w:val="21"/>
              </w:rPr>
            </w:pPr>
            <w:r>
              <w:rPr>
                <w:rFonts w:hint="eastAsia" w:ascii="宋体" w:hAnsi="宋体" w:cs="宋体"/>
                <w:color w:val="auto"/>
                <w:szCs w:val="21"/>
              </w:rPr>
              <w:t>3.合同金额</w:t>
            </w:r>
          </w:p>
          <w:p>
            <w:pPr>
              <w:snapToGrid w:val="0"/>
              <w:rPr>
                <w:rFonts w:ascii="宋体" w:hAnsi="宋体" w:cs="宋体"/>
                <w:color w:val="auto"/>
                <w:szCs w:val="21"/>
              </w:rPr>
            </w:pPr>
            <w:r>
              <w:rPr>
                <w:rFonts w:hint="eastAsia" w:ascii="宋体" w:hAnsi="宋体" w:cs="宋体"/>
                <w:color w:val="auto"/>
                <w:szCs w:val="21"/>
              </w:rPr>
              <w:t>4.业主联系方式</w:t>
            </w:r>
          </w:p>
        </w:tc>
        <w:tc>
          <w:tcPr>
            <w:tcW w:w="2128" w:type="dxa"/>
            <w:gridSpan w:val="2"/>
            <w:tcBorders>
              <w:top w:val="single" w:color="auto" w:sz="4" w:space="0"/>
              <w:left w:val="single" w:color="auto" w:sz="4" w:space="0"/>
              <w:bottom w:val="single" w:color="auto" w:sz="4" w:space="0"/>
              <w:right w:val="single" w:color="auto" w:sz="12" w:space="0"/>
            </w:tcBorders>
          </w:tcPr>
          <w:p>
            <w:pPr>
              <w:snapToGrid w:val="0"/>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62" w:hRule="atLeast"/>
        </w:trPr>
        <w:tc>
          <w:tcPr>
            <w:tcW w:w="7340" w:type="dxa"/>
            <w:gridSpan w:val="5"/>
            <w:tcBorders>
              <w:top w:val="single" w:color="auto" w:sz="4" w:space="0"/>
              <w:left w:val="single" w:color="auto" w:sz="12" w:space="0"/>
              <w:bottom w:val="single" w:color="auto" w:sz="4" w:space="0"/>
              <w:right w:val="single" w:color="auto" w:sz="4" w:space="0"/>
            </w:tcBorders>
          </w:tcPr>
          <w:p>
            <w:pPr>
              <w:snapToGrid w:val="0"/>
              <w:rPr>
                <w:rFonts w:ascii="宋体" w:hAnsi="宋体" w:cs="宋体"/>
                <w:color w:val="auto"/>
                <w:szCs w:val="21"/>
              </w:rPr>
            </w:pPr>
            <w:r>
              <w:rPr>
                <w:rFonts w:hint="eastAsia" w:ascii="宋体" w:hAnsi="宋体" w:cs="宋体"/>
                <w:color w:val="auto"/>
                <w:szCs w:val="21"/>
              </w:rPr>
              <w:t>1.业主单位名称</w:t>
            </w:r>
          </w:p>
          <w:p>
            <w:pPr>
              <w:snapToGrid w:val="0"/>
              <w:rPr>
                <w:rFonts w:ascii="宋体" w:hAnsi="宋体" w:cs="宋体"/>
                <w:color w:val="auto"/>
                <w:szCs w:val="21"/>
              </w:rPr>
            </w:pPr>
            <w:r>
              <w:rPr>
                <w:rFonts w:hint="eastAsia" w:ascii="宋体" w:hAnsi="宋体" w:cs="宋体"/>
                <w:color w:val="auto"/>
                <w:szCs w:val="21"/>
              </w:rPr>
              <w:t>2.项目名称</w:t>
            </w:r>
          </w:p>
          <w:p>
            <w:pPr>
              <w:snapToGrid w:val="0"/>
              <w:rPr>
                <w:rFonts w:ascii="宋体" w:hAnsi="宋体" w:cs="宋体"/>
                <w:color w:val="auto"/>
                <w:szCs w:val="21"/>
              </w:rPr>
            </w:pPr>
            <w:r>
              <w:rPr>
                <w:rFonts w:hint="eastAsia" w:ascii="宋体" w:hAnsi="宋体" w:cs="宋体"/>
                <w:color w:val="auto"/>
                <w:szCs w:val="21"/>
              </w:rPr>
              <w:t>3.合同金额</w:t>
            </w:r>
          </w:p>
          <w:p>
            <w:pPr>
              <w:rPr>
                <w:rFonts w:ascii="宋体" w:hAnsi="宋体" w:cs="宋体"/>
                <w:color w:val="auto"/>
                <w:szCs w:val="21"/>
              </w:rPr>
            </w:pPr>
            <w:r>
              <w:rPr>
                <w:rFonts w:hint="eastAsia" w:ascii="宋体" w:hAnsi="宋体" w:cs="宋体"/>
                <w:color w:val="auto"/>
                <w:szCs w:val="21"/>
              </w:rPr>
              <w:t>4.业主联系方式</w:t>
            </w:r>
          </w:p>
        </w:tc>
        <w:tc>
          <w:tcPr>
            <w:tcW w:w="2128" w:type="dxa"/>
            <w:gridSpan w:val="2"/>
            <w:tcBorders>
              <w:top w:val="single" w:color="auto" w:sz="4" w:space="0"/>
              <w:left w:val="single" w:color="auto" w:sz="4" w:space="0"/>
              <w:bottom w:val="single" w:color="auto" w:sz="4" w:space="0"/>
              <w:right w:val="single" w:color="auto" w:sz="12" w:space="0"/>
            </w:tcBorders>
          </w:tcPr>
          <w:p>
            <w:pP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94" w:hRule="atLeast"/>
        </w:trPr>
        <w:tc>
          <w:tcPr>
            <w:tcW w:w="7340" w:type="dxa"/>
            <w:gridSpan w:val="5"/>
            <w:tcBorders>
              <w:top w:val="single" w:color="auto" w:sz="4" w:space="0"/>
              <w:left w:val="single" w:color="auto" w:sz="12" w:space="0"/>
              <w:bottom w:val="single" w:color="auto" w:sz="4" w:space="0"/>
              <w:right w:val="single" w:color="auto" w:sz="4" w:space="0"/>
            </w:tcBorders>
          </w:tcPr>
          <w:p>
            <w:pPr>
              <w:rPr>
                <w:rFonts w:ascii="宋体" w:hAnsi="宋体" w:cs="宋体"/>
                <w:color w:val="auto"/>
                <w:szCs w:val="21"/>
              </w:rPr>
            </w:pPr>
            <w:r>
              <w:rPr>
                <w:rFonts w:hint="eastAsia" w:ascii="宋体" w:hAnsi="宋体" w:cs="宋体"/>
                <w:color w:val="auto"/>
                <w:szCs w:val="21"/>
              </w:rPr>
              <w:t>……</w:t>
            </w:r>
          </w:p>
        </w:tc>
        <w:tc>
          <w:tcPr>
            <w:tcW w:w="2128" w:type="dxa"/>
            <w:gridSpan w:val="2"/>
            <w:tcBorders>
              <w:top w:val="single" w:color="auto" w:sz="4" w:space="0"/>
              <w:left w:val="single" w:color="auto" w:sz="4" w:space="0"/>
              <w:bottom w:val="single" w:color="auto" w:sz="4" w:space="0"/>
              <w:right w:val="single" w:color="auto" w:sz="12" w:space="0"/>
            </w:tcBorders>
          </w:tcPr>
          <w:p>
            <w:pP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94" w:hRule="atLeast"/>
        </w:trPr>
        <w:tc>
          <w:tcPr>
            <w:tcW w:w="7340" w:type="dxa"/>
            <w:gridSpan w:val="5"/>
            <w:tcBorders>
              <w:top w:val="single" w:color="auto" w:sz="4" w:space="0"/>
              <w:left w:val="single" w:color="auto" w:sz="12" w:space="0"/>
              <w:bottom w:val="single" w:color="auto" w:sz="4" w:space="0"/>
              <w:right w:val="single" w:color="auto" w:sz="4" w:space="0"/>
            </w:tcBorders>
          </w:tcPr>
          <w:p>
            <w:pPr>
              <w:rPr>
                <w:rFonts w:ascii="宋体" w:hAnsi="宋体" w:cs="宋体"/>
                <w:color w:val="auto"/>
                <w:szCs w:val="21"/>
              </w:rPr>
            </w:pPr>
          </w:p>
        </w:tc>
        <w:tc>
          <w:tcPr>
            <w:tcW w:w="2128" w:type="dxa"/>
            <w:gridSpan w:val="2"/>
            <w:tcBorders>
              <w:top w:val="single" w:color="auto" w:sz="4" w:space="0"/>
              <w:left w:val="single" w:color="auto" w:sz="4" w:space="0"/>
              <w:bottom w:val="single" w:color="auto" w:sz="4" w:space="0"/>
              <w:right w:val="single" w:color="auto" w:sz="12" w:space="0"/>
            </w:tcBorders>
          </w:tcPr>
          <w:p>
            <w:pP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94" w:hRule="atLeast"/>
        </w:trPr>
        <w:tc>
          <w:tcPr>
            <w:tcW w:w="7340" w:type="dxa"/>
            <w:gridSpan w:val="5"/>
            <w:tcBorders>
              <w:top w:val="single" w:color="auto" w:sz="4" w:space="0"/>
              <w:left w:val="single" w:color="auto" w:sz="12" w:space="0"/>
              <w:bottom w:val="single" w:color="auto" w:sz="12" w:space="0"/>
              <w:right w:val="single" w:color="auto" w:sz="4" w:space="0"/>
            </w:tcBorders>
          </w:tcPr>
          <w:p>
            <w:pPr>
              <w:rPr>
                <w:rFonts w:ascii="宋体" w:hAnsi="宋体" w:cs="宋体"/>
                <w:color w:val="auto"/>
                <w:szCs w:val="21"/>
              </w:rPr>
            </w:pPr>
          </w:p>
        </w:tc>
        <w:tc>
          <w:tcPr>
            <w:tcW w:w="2128" w:type="dxa"/>
            <w:gridSpan w:val="2"/>
            <w:tcBorders>
              <w:top w:val="single" w:color="auto" w:sz="4" w:space="0"/>
              <w:left w:val="single" w:color="auto" w:sz="4" w:space="0"/>
              <w:bottom w:val="single" w:color="auto" w:sz="12" w:space="0"/>
              <w:right w:val="single" w:color="auto" w:sz="12" w:space="0"/>
            </w:tcBorders>
          </w:tcPr>
          <w:p>
            <w:pPr>
              <w:rPr>
                <w:rFonts w:ascii="宋体" w:hAnsi="宋体" w:cs="宋体"/>
                <w:color w:val="auto"/>
                <w:szCs w:val="21"/>
              </w:rPr>
            </w:pPr>
          </w:p>
        </w:tc>
      </w:tr>
    </w:tbl>
    <w:p>
      <w:pPr>
        <w:jc w:val="left"/>
        <w:rPr>
          <w:rFonts w:ascii="宋体" w:hAnsi="宋体" w:cs="宋体"/>
          <w:bCs/>
          <w:color w:val="auto"/>
          <w:szCs w:val="21"/>
        </w:rPr>
      </w:pPr>
      <w:r>
        <w:rPr>
          <w:rFonts w:hint="eastAsia" w:ascii="宋体" w:hAnsi="宋体" w:cs="宋体"/>
          <w:bCs/>
          <w:color w:val="auto"/>
          <w:szCs w:val="21"/>
        </w:rPr>
        <w:t>注：供应商须提供表列人员的业绩证明材料，包括项目合同复印件或业主证明材料或可以有效证明表列人员的业绩资料。</w:t>
      </w:r>
    </w:p>
    <w:p>
      <w:pPr>
        <w:pStyle w:val="380"/>
        <w:adjustRightInd/>
        <w:snapToGrid/>
        <w:spacing w:after="0"/>
        <w:rPr>
          <w:rFonts w:ascii="宋体" w:hAnsi="宋体" w:cs="宋体"/>
          <w:color w:val="auto"/>
          <w:sz w:val="21"/>
          <w:szCs w:val="21"/>
        </w:rPr>
      </w:pPr>
    </w:p>
    <w:p>
      <w:pPr>
        <w:pStyle w:val="380"/>
        <w:adjustRightInd/>
        <w:snapToGrid/>
        <w:spacing w:after="0"/>
        <w:rPr>
          <w:rFonts w:ascii="宋体" w:hAnsi="宋体" w:cs="宋体"/>
          <w:color w:val="auto"/>
          <w:sz w:val="21"/>
          <w:szCs w:val="21"/>
          <w:u w:val="single"/>
        </w:rPr>
      </w:pPr>
      <w:r>
        <w:rPr>
          <w:rFonts w:hint="eastAsia" w:ascii="宋体" w:hAnsi="宋体" w:cs="宋体"/>
          <w:color w:val="auto"/>
          <w:sz w:val="21"/>
          <w:szCs w:val="21"/>
        </w:rPr>
        <w:t>供应商名称：</w:t>
      </w:r>
      <w:r>
        <w:rPr>
          <w:rFonts w:hint="eastAsia" w:ascii="宋体" w:hAnsi="宋体" w:cs="宋体"/>
          <w:color w:val="auto"/>
          <w:sz w:val="21"/>
          <w:szCs w:val="21"/>
          <w:u w:val="single"/>
        </w:rPr>
        <w:t xml:space="preserve">        公章         </w:t>
      </w:r>
    </w:p>
    <w:p>
      <w:pPr>
        <w:rPr>
          <w:rFonts w:ascii="宋体" w:hAnsi="宋体" w:cs="宋体"/>
          <w:color w:val="auto"/>
          <w:szCs w:val="21"/>
          <w:u w:val="single"/>
        </w:rPr>
      </w:pPr>
      <w:r>
        <w:rPr>
          <w:rFonts w:hint="eastAsia" w:ascii="宋体" w:hAnsi="宋体" w:cs="宋体"/>
          <w:color w:val="auto"/>
          <w:szCs w:val="21"/>
        </w:rPr>
        <w:t>授权代表：</w:t>
      </w:r>
      <w:r>
        <w:rPr>
          <w:rFonts w:hint="eastAsia" w:ascii="宋体" w:hAnsi="宋体" w:cs="宋体"/>
          <w:color w:val="auto"/>
          <w:szCs w:val="21"/>
          <w:u w:val="single"/>
        </w:rPr>
        <w:t>签字或加盖人名章</w:t>
      </w:r>
    </w:p>
    <w:p>
      <w:pPr>
        <w:jc w:val="left"/>
        <w:rPr>
          <w:rFonts w:ascii="宋体" w:hAnsi="宋体" w:cs="宋体"/>
          <w:color w:val="auto"/>
          <w:szCs w:val="21"/>
        </w:rPr>
      </w:pPr>
      <w:r>
        <w:rPr>
          <w:rFonts w:hint="eastAsia" w:ascii="宋体" w:hAnsi="宋体" w:cs="宋体"/>
          <w:color w:val="auto"/>
          <w:szCs w:val="21"/>
        </w:rPr>
        <w:t>日期 ：</w:t>
      </w:r>
    </w:p>
    <w:p>
      <w:pPr>
        <w:widowControl/>
        <w:jc w:val="left"/>
        <w:rPr>
          <w:rFonts w:ascii="宋体" w:hAnsi="宋体" w:cs="宋体"/>
          <w:color w:val="auto"/>
          <w:sz w:val="24"/>
        </w:rPr>
      </w:pPr>
      <w:r>
        <w:rPr>
          <w:rFonts w:hint="eastAsia" w:ascii="宋体" w:hAnsi="宋体" w:cs="宋体"/>
          <w:color w:val="auto"/>
          <w:sz w:val="24"/>
        </w:rPr>
        <w:br w:type="page"/>
      </w:r>
    </w:p>
    <w:bookmarkEnd w:id="219"/>
    <w:p>
      <w:pPr>
        <w:pStyle w:val="281"/>
        <w:numPr>
          <w:ilvl w:val="0"/>
          <w:numId w:val="21"/>
        </w:numPr>
        <w:spacing w:line="360" w:lineRule="auto"/>
        <w:ind w:left="1276" w:hanging="1276" w:firstLineChars="0"/>
        <w:outlineLvl w:val="1"/>
        <w:rPr>
          <w:rFonts w:ascii="宋体" w:hAnsi="宋体" w:cs="宋体"/>
          <w:b/>
          <w:color w:val="auto"/>
          <w:sz w:val="24"/>
        </w:rPr>
      </w:pPr>
      <w:bookmarkStart w:id="298" w:name="_Toc3220234"/>
      <w:bookmarkStart w:id="299" w:name="_Toc4433613"/>
      <w:bookmarkStart w:id="300" w:name="_Toc26810"/>
      <w:r>
        <w:rPr>
          <w:rFonts w:hint="eastAsia" w:ascii="宋体" w:hAnsi="宋体" w:cs="宋体"/>
          <w:b/>
          <w:color w:val="auto"/>
          <w:sz w:val="24"/>
        </w:rPr>
        <w:t>服务支持能力</w:t>
      </w:r>
      <w:bookmarkEnd w:id="298"/>
      <w:bookmarkEnd w:id="299"/>
      <w:bookmarkEnd w:id="300"/>
    </w:p>
    <w:p>
      <w:pPr>
        <w:spacing w:line="360" w:lineRule="auto"/>
        <w:ind w:left="283" w:leftChars="135" w:firstLine="420" w:firstLineChars="200"/>
        <w:rPr>
          <w:rFonts w:ascii="宋体" w:hAnsi="宋体" w:cs="宋体"/>
          <w:bCs/>
          <w:color w:val="auto"/>
          <w:szCs w:val="21"/>
        </w:rPr>
      </w:pPr>
      <w:r>
        <w:rPr>
          <w:rFonts w:hint="eastAsia" w:ascii="宋体" w:hAnsi="宋体" w:cs="宋体"/>
          <w:bCs/>
          <w:color w:val="auto"/>
          <w:szCs w:val="21"/>
        </w:rPr>
        <w:t>详细说明提供服务支持的能力，包括服务机构（名称、地址、联系人和联系方式）、人员情况，对项目故障反应时间、服务时间、备品备件供应能力等具体描述并提供相关数据和辅助资料供核实。</w:t>
      </w:r>
    </w:p>
    <w:p>
      <w:pPr>
        <w:spacing w:line="360" w:lineRule="auto"/>
        <w:rPr>
          <w:rFonts w:ascii="宋体" w:hAnsi="宋体" w:cs="宋体"/>
          <w:bCs/>
          <w:color w:val="auto"/>
          <w:szCs w:val="21"/>
        </w:rPr>
      </w:pPr>
    </w:p>
    <w:p>
      <w:pPr>
        <w:spacing w:before="156" w:beforeLines="50" w:line="360" w:lineRule="auto"/>
        <w:ind w:firstLine="619" w:firstLineChars="295"/>
        <w:rPr>
          <w:rFonts w:ascii="宋体" w:hAnsi="宋体" w:cs="宋体"/>
          <w:color w:val="auto"/>
          <w:szCs w:val="21"/>
        </w:rPr>
      </w:pPr>
      <w:r>
        <w:rPr>
          <w:rFonts w:hint="eastAsia" w:ascii="宋体" w:hAnsi="宋体" w:cs="宋体"/>
          <w:color w:val="auto"/>
          <w:szCs w:val="21"/>
        </w:rPr>
        <w:t>供应商：（公章）</w:t>
      </w:r>
    </w:p>
    <w:p>
      <w:pPr>
        <w:spacing w:before="156" w:beforeLines="50" w:line="360" w:lineRule="auto"/>
        <w:ind w:firstLine="619" w:firstLineChars="295"/>
        <w:rPr>
          <w:rFonts w:ascii="宋体" w:hAnsi="宋体" w:cs="宋体"/>
          <w:color w:val="auto"/>
          <w:szCs w:val="21"/>
        </w:rPr>
      </w:pPr>
      <w:r>
        <w:rPr>
          <w:rFonts w:hint="eastAsia" w:ascii="宋体" w:hAnsi="宋体" w:cs="宋体"/>
          <w:color w:val="auto"/>
          <w:szCs w:val="21"/>
        </w:rPr>
        <w:t>法定代表人或其授权代表：（签字或加盖人名章）</w:t>
      </w:r>
    </w:p>
    <w:p>
      <w:pPr>
        <w:spacing w:before="156" w:beforeLines="50" w:line="360" w:lineRule="auto"/>
        <w:ind w:firstLine="619" w:firstLineChars="295"/>
        <w:rPr>
          <w:rFonts w:ascii="宋体" w:hAnsi="宋体" w:cs="宋体"/>
          <w:color w:val="auto"/>
          <w:szCs w:val="21"/>
        </w:rPr>
      </w:pPr>
      <w:r>
        <w:rPr>
          <w:rFonts w:hint="eastAsia" w:ascii="宋体" w:hAnsi="宋体" w:cs="宋体"/>
          <w:color w:val="auto"/>
          <w:szCs w:val="21"/>
        </w:rPr>
        <w:t>日期：</w:t>
      </w:r>
    </w:p>
    <w:p>
      <w:pPr>
        <w:spacing w:line="360" w:lineRule="auto"/>
        <w:rPr>
          <w:rFonts w:ascii="宋体" w:hAnsi="宋体" w:cs="宋体"/>
          <w:color w:val="auto"/>
          <w:szCs w:val="21"/>
        </w:rPr>
      </w:pPr>
    </w:p>
    <w:p>
      <w:pPr>
        <w:spacing w:line="360" w:lineRule="auto"/>
        <w:ind w:firstLine="619" w:firstLineChars="295"/>
        <w:rPr>
          <w:rFonts w:ascii="宋体" w:hAnsi="宋体" w:cs="宋体"/>
          <w:color w:val="auto"/>
          <w:sz w:val="24"/>
        </w:rPr>
      </w:pPr>
      <w:r>
        <w:rPr>
          <w:rFonts w:hint="eastAsia" w:ascii="宋体" w:hAnsi="宋体" w:cs="宋体"/>
          <w:color w:val="auto"/>
          <w:szCs w:val="21"/>
        </w:rPr>
        <w:t>说明：附相关证明文件，并加盖公章。</w:t>
      </w:r>
    </w:p>
    <w:p>
      <w:pPr>
        <w:spacing w:line="360" w:lineRule="auto"/>
        <w:rPr>
          <w:rFonts w:ascii="宋体" w:hAnsi="宋体" w:cs="宋体"/>
          <w:color w:val="auto"/>
        </w:rPr>
      </w:pPr>
      <w:r>
        <w:rPr>
          <w:rFonts w:hint="eastAsia" w:ascii="宋体" w:hAnsi="宋体" w:cs="宋体"/>
          <w:color w:val="auto"/>
        </w:rPr>
        <w:br w:type="page"/>
      </w:r>
    </w:p>
    <w:p>
      <w:pPr>
        <w:pStyle w:val="281"/>
        <w:numPr>
          <w:ilvl w:val="0"/>
          <w:numId w:val="21"/>
        </w:numPr>
        <w:spacing w:line="360" w:lineRule="auto"/>
        <w:ind w:left="1276" w:hanging="1276" w:firstLineChars="0"/>
        <w:outlineLvl w:val="1"/>
        <w:rPr>
          <w:rFonts w:ascii="宋体" w:hAnsi="宋体" w:cs="宋体"/>
          <w:b/>
          <w:color w:val="auto"/>
          <w:sz w:val="24"/>
        </w:rPr>
      </w:pPr>
      <w:bookmarkStart w:id="301" w:name="_Toc4433614"/>
      <w:bookmarkStart w:id="302" w:name="_Toc3220235"/>
      <w:bookmarkStart w:id="303" w:name="_Toc18476"/>
      <w:r>
        <w:rPr>
          <w:rFonts w:hint="eastAsia" w:ascii="宋体" w:hAnsi="宋体" w:cs="宋体"/>
          <w:b/>
          <w:color w:val="auto"/>
          <w:sz w:val="24"/>
        </w:rPr>
        <w:t>供应商其他承诺（如有）</w:t>
      </w:r>
      <w:bookmarkEnd w:id="301"/>
      <w:bookmarkEnd w:id="302"/>
      <w:bookmarkEnd w:id="303"/>
    </w:p>
    <w:p>
      <w:pPr>
        <w:rPr>
          <w:rFonts w:ascii="宋体" w:hAnsi="宋体" w:cs="宋体"/>
          <w:color w:val="auto"/>
          <w:szCs w:val="21"/>
        </w:rPr>
      </w:pPr>
    </w:p>
    <w:sectPr>
      <w:headerReference r:id="rId9" w:type="default"/>
      <w:footerReference r:id="rId10"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MS Gothic">
    <w:panose1 w:val="020B06090702050802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Univers">
    <w:altName w:val="Arial"/>
    <w:panose1 w:val="00000000000000000000"/>
    <w:charset w:val="00"/>
    <w:family w:val="swiss"/>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97485" cy="125095"/>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197485" cy="125095"/>
                      </a:xfrm>
                      <a:prstGeom prst="rect">
                        <a:avLst/>
                      </a:prstGeom>
                      <a:noFill/>
                      <a:ln>
                        <a:noFill/>
                      </a:ln>
                    </wps:spPr>
                    <wps:txbx>
                      <w:txbxContent>
                        <w:p>
                          <w:pPr>
                            <w:pStyle w:val="49"/>
                          </w:pPr>
                          <w:r>
                            <w:fldChar w:fldCharType="begin"/>
                          </w:r>
                          <w:r>
                            <w:instrText xml:space="preserve"> PAGE  \* MERGEFORMAT </w:instrText>
                          </w:r>
                          <w:r>
                            <w:fldChar w:fldCharType="separate"/>
                          </w:r>
                          <w:r>
                            <w:t>52</w:t>
                          </w:r>
                          <w:r>
                            <w:fldChar w:fldCharType="end"/>
                          </w:r>
                        </w:p>
                      </w:txbxContent>
                    </wps:txbx>
                    <wps:bodyPr wrap="square" lIns="0" tIns="0" rIns="0" bIns="0" upright="1"/>
                  </wps:wsp>
                </a:graphicData>
              </a:graphic>
            </wp:anchor>
          </w:drawing>
        </mc:Choice>
        <mc:Fallback>
          <w:pict>
            <v:shape id="文本框 1025" o:spid="_x0000_s1026" o:spt="202" type="#_x0000_t202" style="position:absolute;left:0pt;margin-top:0pt;height:9.85pt;width:15.55pt;mso-position-horizontal:center;mso-position-horizontal-relative:margin;z-index:251662336;mso-width-relative:page;mso-height-relative:page;" filled="f" stroked="f" coordsize="21600,21600" o:gfxdata="UEsDBAoAAAAAAIdO4kAAAAAAAAAAAAAAAAAEAAAAZHJzL1BLAwQUAAAACACHTuJAQ0d70dMAAAAD&#10;AQAADwAAAGRycy9kb3ducmV2LnhtbE2PzU7DMBCE70i8g7VI3KgdkAoNcSqE4ISEmqaHHp14m1iN&#10;1yF2f3j7LlzgMtJqRjPfFsuzH8QRp+gCachmCgRSG6yjTsOmfr97AhGTIWuGQKjhGyMsy+urwuQ2&#10;nKjC4zp1gkso5kZDn9KYSxnbHr2JszAisbcLkzeJz6mTdjInLveDvFdqLr1xxAu9GfG1x3a/PngN&#10;L1uq3tzXZ7OqdpWr64Wij/le69ubTD2DSHhOf2H4wWd0KJmpCQeyUQwa+JH0q+w9ZBmIhjOLR5Bl&#10;If+zlxdQSwMEFAAAAAgAh07iQPHu0urHAQAAggMAAA4AAABkcnMvZTJvRG9jLnhtbK1TS27bMBDd&#10;F+gdCO5ryUbdJoLlAIWRoEDRFkhyAJqiLAL8ZYa25Au0N+iqm+57Lp8jQ9py2nSTRTfUcDh8894b&#10;anE1WMN2ClB7V/PppORMOekb7TY1v7+7fnPBGUbhGmG8UzXfK+RXy9evFn2o1Mx33jQKGIE4rPpQ&#10;8y7GUBUFyk5ZgRMflKPD1oMVkbawKRoQPaFbU8zK8l3Re2gCeKkQKbs6HvITIrwE0Letlmrl5dYq&#10;F4+ooIyIJAk7HZAvM9u2VTJ+aVtUkZmak9KYV2pC8TqtxXIhqg2I0Gl5oiBeQuGZJiu0o6ZnqJWI&#10;gm1B/wNltQSPvo0T6W1xFJIdIRXT8pk3t50IKmshqzGcTcf/Bys/774C003N55w5YWnghx/fDz9/&#10;H359Y9NyNk8O9QErKrwNVBqHD36gdzPmkZJJ+NCCTV+SxOic/N2f/VVDZDJdunz/9oL6SDqazubl&#10;ZUYvni4HwHijvGUpqDnQ+LKrYvcJIxGh0rEk9XL+WhuTR2jcXwkqTJkiMT8yTFEc1sNJzto3e1LT&#10;0+Rrjg9bAYoz89GRtemZjAGMwXoMtgH0piNy2YHcgEaTqZ2eUZr9n/tM4+nXWT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0d70dMAAAADAQAADwAAAAAAAAABACAAAAAiAAAAZHJzL2Rvd25yZXYu&#10;eG1sUEsBAhQAFAAAAAgAh07iQPHu0urHAQAAggMAAA4AAAAAAAAAAQAgAAAAIgEAAGRycy9lMm9E&#10;b2MueG1sUEsFBgAAAAAGAAYAWQEAAFsFAAAAAA==&#10;">
              <v:fill on="f" focussize="0,0"/>
              <v:stroke on="f"/>
              <v:imagedata o:title=""/>
              <o:lock v:ext="edit" aspectratio="f"/>
              <v:textbox inset="0mm,0mm,0mm,0mm">
                <w:txbxContent>
                  <w:p>
                    <w:pPr>
                      <w:pStyle w:val="4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firstLine="90" w:firstLineChars="5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9"/>
                            <w:ind w:firstLine="90" w:firstLineChars="50"/>
                            <w:jc w:val="center"/>
                          </w:pPr>
                          <w:r>
                            <w:rPr>
                              <w:rFonts w:ascii="宋体" w:hAnsi="宋体"/>
                            </w:rPr>
                            <w:fldChar w:fldCharType="begin"/>
                          </w:r>
                          <w:r>
                            <w:rPr>
                              <w:rStyle w:val="79"/>
                              <w:rFonts w:ascii="宋体" w:hAnsi="宋体"/>
                            </w:rPr>
                            <w:instrText xml:space="preserve"> PAGE </w:instrText>
                          </w:r>
                          <w:r>
                            <w:rPr>
                              <w:rFonts w:ascii="宋体" w:hAnsi="宋体"/>
                            </w:rPr>
                            <w:fldChar w:fldCharType="separate"/>
                          </w:r>
                          <w:r>
                            <w:rPr>
                              <w:rStyle w:val="79"/>
                              <w:rFonts w:ascii="宋体" w:hAnsi="宋体"/>
                            </w:rPr>
                            <w:t>57</w:t>
                          </w:r>
                          <w:r>
                            <w:rPr>
                              <w:rFonts w:ascii="宋体" w:hAnsi="宋体"/>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49"/>
                      <w:ind w:firstLine="90" w:firstLineChars="50"/>
                      <w:jc w:val="center"/>
                    </w:pPr>
                    <w:r>
                      <w:rPr>
                        <w:rFonts w:ascii="宋体" w:hAnsi="宋体"/>
                      </w:rPr>
                      <w:fldChar w:fldCharType="begin"/>
                    </w:r>
                    <w:r>
                      <w:rPr>
                        <w:rStyle w:val="79"/>
                        <w:rFonts w:ascii="宋体" w:hAnsi="宋体"/>
                      </w:rPr>
                      <w:instrText xml:space="preserve"> PAGE </w:instrText>
                    </w:r>
                    <w:r>
                      <w:rPr>
                        <w:rFonts w:ascii="宋体" w:hAnsi="宋体"/>
                      </w:rPr>
                      <w:fldChar w:fldCharType="separate"/>
                    </w:r>
                    <w:r>
                      <w:rPr>
                        <w:rStyle w:val="79"/>
                        <w:rFonts w:ascii="宋体" w:hAnsi="宋体"/>
                      </w:rPr>
                      <w:t>57</w:t>
                    </w:r>
                    <w:r>
                      <w:rPr>
                        <w:rFonts w:ascii="宋体" w:hAnsi="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firstLine="90" w:firstLineChars="5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9"/>
                            <w:ind w:firstLine="90" w:firstLineChars="50"/>
                            <w:jc w:val="center"/>
                          </w:pPr>
                          <w:r>
                            <w:rPr>
                              <w:rFonts w:ascii="宋体" w:hAnsi="宋体"/>
                            </w:rPr>
                            <w:fldChar w:fldCharType="begin"/>
                          </w:r>
                          <w:r>
                            <w:rPr>
                              <w:rStyle w:val="79"/>
                              <w:rFonts w:ascii="宋体" w:hAnsi="宋体"/>
                            </w:rPr>
                            <w:instrText xml:space="preserve"> PAGE </w:instrText>
                          </w:r>
                          <w:r>
                            <w:rPr>
                              <w:rFonts w:ascii="宋体" w:hAnsi="宋体"/>
                            </w:rPr>
                            <w:fldChar w:fldCharType="separate"/>
                          </w:r>
                          <w:r>
                            <w:rPr>
                              <w:rStyle w:val="79"/>
                              <w:rFonts w:ascii="宋体" w:hAnsi="宋体"/>
                            </w:rPr>
                            <w:t>66</w:t>
                          </w:r>
                          <w:r>
                            <w:rPr>
                              <w:rFonts w:ascii="宋体" w:hAnsi="宋体"/>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V4aQ8sBAACc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FeGkPLAQAAnAMAAA4AAAAAAAAAAQAgAAAAHgEAAGRycy9lMm9E&#10;b2MueG1sUEsFBgAAAAAGAAYAWQEAAFsFAAAAAA==&#10;">
              <v:fill on="f" focussize="0,0"/>
              <v:stroke on="f"/>
              <v:imagedata o:title=""/>
              <o:lock v:ext="edit" aspectratio="f"/>
              <v:textbox inset="0mm,0mm,0mm,0mm" style="mso-fit-shape-to-text:t;">
                <w:txbxContent>
                  <w:p>
                    <w:pPr>
                      <w:pStyle w:val="49"/>
                      <w:ind w:firstLine="90" w:firstLineChars="50"/>
                      <w:jc w:val="center"/>
                    </w:pPr>
                    <w:r>
                      <w:rPr>
                        <w:rFonts w:ascii="宋体" w:hAnsi="宋体"/>
                      </w:rPr>
                      <w:fldChar w:fldCharType="begin"/>
                    </w:r>
                    <w:r>
                      <w:rPr>
                        <w:rStyle w:val="79"/>
                        <w:rFonts w:ascii="宋体" w:hAnsi="宋体"/>
                      </w:rPr>
                      <w:instrText xml:space="preserve"> PAGE </w:instrText>
                    </w:r>
                    <w:r>
                      <w:rPr>
                        <w:rFonts w:ascii="宋体" w:hAnsi="宋体"/>
                      </w:rPr>
                      <w:fldChar w:fldCharType="separate"/>
                    </w:r>
                    <w:r>
                      <w:rPr>
                        <w:rStyle w:val="79"/>
                        <w:rFonts w:ascii="宋体" w:hAnsi="宋体"/>
                      </w:rPr>
                      <w:t>66</w:t>
                    </w:r>
                    <w:r>
                      <w:rPr>
                        <w:rFonts w:ascii="宋体" w:hAnsi="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firstLine="90" w:firstLineChars="5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9"/>
                            <w:ind w:firstLine="90" w:firstLineChars="50"/>
                            <w:jc w:val="center"/>
                          </w:pPr>
                          <w:r>
                            <w:fldChar w:fldCharType="begin"/>
                          </w:r>
                          <w:r>
                            <w:rPr>
                              <w:rStyle w:val="79"/>
                            </w:rPr>
                            <w:instrText xml:space="preserve"> PAGE </w:instrText>
                          </w:r>
                          <w:r>
                            <w:fldChar w:fldCharType="separate"/>
                          </w:r>
                          <w:r>
                            <w:rPr>
                              <w:rStyle w:val="79"/>
                            </w:rPr>
                            <w:t>74</w:t>
                          </w:r>
                          <w: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VujLswBAACcAwAADgAAAGRycy9lMm9Eb2MueG1srVNLbtswEN0XyB0I&#10;7mPKRlEIguUggZEiQNAWSHsAmqIsAvyBQ1vyBdobdNVN9z2Xz9EhJTltusmiG2o4M3zz3sxofTMY&#10;TY4ygHK2pstFQYm0wjXK7mv65fP9dUkJRG4brp2VNT1JoDebqzfr3ldy5TqnGxkIglioel/TLkZf&#10;MQaik4bDwnlpMdi6YHjEa9izJvAe0Y1mq6J4x3oXGh+ckADo3Y5BOiGG1wC6tlVCbp04GGnjiBqk&#10;5hElQac80E1m27ZSxI9tCzISXVNUGvOJRdDepZNt1rzaB+47JSYK/DUUXmgyXFkseoHa8sjJIah/&#10;oIwSwYFr40I4w0YhuSOoYlm86M1Tx73MWrDV4C9Nh/8HKz4cPwWimpq+pcRygwM/f/92/vHr/PMr&#10;WRarMnWo91Bh4pPH1DjcuQH3ZvYDOpPwoQ0mfVESwTj293TprxwiEelRuSrL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dW6MuzAEAAJwDAAAOAAAAAAAAAAEAIAAAAB4BAABkcnMvZTJv&#10;RG9jLnhtbFBLBQYAAAAABgAGAFkBAABcBQAAAAA=&#10;">
              <v:fill on="f" focussize="0,0"/>
              <v:stroke on="f"/>
              <v:imagedata o:title=""/>
              <o:lock v:ext="edit" aspectratio="f"/>
              <v:textbox inset="0mm,0mm,0mm,0mm" style="mso-fit-shape-to-text:t;">
                <w:txbxContent>
                  <w:p>
                    <w:pPr>
                      <w:pStyle w:val="49"/>
                      <w:ind w:firstLine="90" w:firstLineChars="50"/>
                      <w:jc w:val="center"/>
                    </w:pPr>
                    <w:r>
                      <w:fldChar w:fldCharType="begin"/>
                    </w:r>
                    <w:r>
                      <w:rPr>
                        <w:rStyle w:val="79"/>
                      </w:rPr>
                      <w:instrText xml:space="preserve"> PAGE </w:instrText>
                    </w:r>
                    <w:r>
                      <w:fldChar w:fldCharType="separate"/>
                    </w:r>
                    <w:r>
                      <w:rPr>
                        <w:rStyle w:val="79"/>
                      </w:rPr>
                      <w:t>74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2FEF"/>
    <w:multiLevelType w:val="multilevel"/>
    <w:tmpl w:val="AB7C2FEF"/>
    <w:lvl w:ilvl="0" w:tentative="0">
      <w:start w:val="1"/>
      <w:numFmt w:val="decimal"/>
      <w:suff w:val="space"/>
      <w:lvlText w:val="%1"/>
      <w:lvlJc w:val="left"/>
      <w:pPr>
        <w:ind w:left="1134" w:hanging="1134"/>
      </w:pPr>
      <w:rPr>
        <w:rFonts w:hint="eastAsia" w:ascii="宋体" w:eastAsia="宋体" w:cs="Times New Roman"/>
        <w:sz w:val="24"/>
        <w:szCs w:val="24"/>
      </w:rPr>
    </w:lvl>
    <w:lvl w:ilvl="1" w:tentative="0">
      <w:start w:val="1"/>
      <w:numFmt w:val="decimal"/>
      <w:suff w:val="space"/>
      <w:lvlText w:val="%1.%2"/>
      <w:lvlJc w:val="left"/>
      <w:pPr>
        <w:ind w:left="1134" w:hanging="1134"/>
      </w:pPr>
      <w:rPr>
        <w:rFonts w:hint="eastAsia" w:ascii="宋体" w:eastAsia="宋体" w:cs="Times New Roman"/>
        <w:color w:val="auto"/>
      </w:rPr>
    </w:lvl>
    <w:lvl w:ilvl="2" w:tentative="0">
      <w:start w:val="1"/>
      <w:numFmt w:val="decimal"/>
      <w:suff w:val="space"/>
      <w:lvlText w:val="%1.%2.%3"/>
      <w:lvlJc w:val="left"/>
      <w:pPr>
        <w:ind w:left="1134" w:hanging="1134"/>
      </w:pPr>
      <w:rPr>
        <w:rFonts w:hint="eastAsia" w:ascii="宋体" w:eastAsia="宋体" w:cs="Times New Roman"/>
      </w:rPr>
    </w:lvl>
    <w:lvl w:ilvl="3" w:tentative="0">
      <w:start w:val="1"/>
      <w:numFmt w:val="decimal"/>
      <w:lvlText w:val="%1.%2.%3.%4"/>
      <w:lvlJc w:val="left"/>
      <w:pPr>
        <w:tabs>
          <w:tab w:val="left" w:pos="1021"/>
        </w:tabs>
        <w:ind w:left="1134" w:hanging="1134"/>
      </w:pPr>
      <w:rPr>
        <w:rFonts w:hint="eastAsia" w:cs="Times New Roman"/>
      </w:rPr>
    </w:lvl>
    <w:lvl w:ilvl="4" w:tentative="0">
      <w:start w:val="1"/>
      <w:numFmt w:val="decimal"/>
      <w:lvlText w:val="%1.%2.%3.%4.%5"/>
      <w:lvlJc w:val="left"/>
      <w:pPr>
        <w:tabs>
          <w:tab w:val="left" w:pos="1021"/>
        </w:tabs>
        <w:ind w:left="1134" w:hanging="1134"/>
      </w:pPr>
      <w:rPr>
        <w:rFonts w:hint="eastAsia" w:cs="Times New Roman"/>
      </w:rPr>
    </w:lvl>
    <w:lvl w:ilvl="5" w:tentative="0">
      <w:start w:val="1"/>
      <w:numFmt w:val="decimal"/>
      <w:lvlText w:val="%1.%2.%3.%4.%5.%6."/>
      <w:lvlJc w:val="left"/>
      <w:pPr>
        <w:tabs>
          <w:tab w:val="left" w:pos="1021"/>
        </w:tabs>
        <w:ind w:left="1134" w:hanging="1134"/>
      </w:pPr>
      <w:rPr>
        <w:rFonts w:hint="eastAsia" w:cs="Times New Roman"/>
      </w:rPr>
    </w:lvl>
    <w:lvl w:ilvl="6" w:tentative="0">
      <w:start w:val="1"/>
      <w:numFmt w:val="decimal"/>
      <w:lvlText w:val="%1.%2.%3.%4.%5.%6.%7."/>
      <w:lvlJc w:val="left"/>
      <w:pPr>
        <w:tabs>
          <w:tab w:val="left" w:pos="1021"/>
        </w:tabs>
        <w:ind w:left="1134" w:hanging="1134"/>
      </w:pPr>
      <w:rPr>
        <w:rFonts w:hint="eastAsia" w:cs="Times New Roman"/>
      </w:rPr>
    </w:lvl>
    <w:lvl w:ilvl="7" w:tentative="0">
      <w:start w:val="1"/>
      <w:numFmt w:val="decimal"/>
      <w:lvlText w:val="%1.%2.%3.%4.%5.%6.%7.%8."/>
      <w:lvlJc w:val="left"/>
      <w:pPr>
        <w:tabs>
          <w:tab w:val="left" w:pos="1021"/>
        </w:tabs>
        <w:ind w:left="1134" w:hanging="1134"/>
      </w:pPr>
      <w:rPr>
        <w:rFonts w:hint="eastAsia" w:cs="Times New Roman"/>
      </w:rPr>
    </w:lvl>
    <w:lvl w:ilvl="8" w:tentative="0">
      <w:start w:val="1"/>
      <w:numFmt w:val="decimal"/>
      <w:lvlText w:val="%1.%2.%3.%4.%5.%6.%7.%8.%9."/>
      <w:lvlJc w:val="left"/>
      <w:pPr>
        <w:tabs>
          <w:tab w:val="left" w:pos="1021"/>
        </w:tabs>
        <w:ind w:left="1134" w:hanging="1134"/>
      </w:pPr>
      <w:rPr>
        <w:rFonts w:hint="eastAsia" w:cs="Times New Roman"/>
      </w:rPr>
    </w:lvl>
  </w:abstractNum>
  <w:abstractNum w:abstractNumId="1">
    <w:nsid w:val="CB4C61EA"/>
    <w:multiLevelType w:val="multilevel"/>
    <w:tmpl w:val="CB4C61EA"/>
    <w:lvl w:ilvl="0" w:tentative="0">
      <w:start w:val="1"/>
      <w:numFmt w:val="decimal"/>
      <w:suff w:val="space"/>
      <w:lvlText w:val="%1"/>
      <w:lvlJc w:val="left"/>
      <w:pPr>
        <w:ind w:left="1077" w:hanging="1077"/>
      </w:pPr>
      <w:rPr>
        <w:rFonts w:hint="eastAsia" w:cs="Times New Roman"/>
      </w:rPr>
    </w:lvl>
    <w:lvl w:ilvl="1" w:tentative="0">
      <w:start w:val="1"/>
      <w:numFmt w:val="decimal"/>
      <w:suff w:val="space"/>
      <w:lvlText w:val="%1.%2"/>
      <w:lvlJc w:val="left"/>
      <w:pPr>
        <w:ind w:left="1077" w:hanging="1077"/>
      </w:pPr>
      <w:rPr>
        <w:rFonts w:hint="eastAsia" w:cs="Times New Roman"/>
      </w:rPr>
    </w:lvl>
    <w:lvl w:ilvl="2" w:tentative="0">
      <w:start w:val="1"/>
      <w:numFmt w:val="decimal"/>
      <w:suff w:val="space"/>
      <w:lvlText w:val="%1.%2.%3"/>
      <w:lvlJc w:val="left"/>
      <w:pPr>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2">
    <w:nsid w:val="F8A35D05"/>
    <w:multiLevelType w:val="singleLevel"/>
    <w:tmpl w:val="F8A35D05"/>
    <w:lvl w:ilvl="0" w:tentative="0">
      <w:start w:val="1"/>
      <w:numFmt w:val="decimal"/>
      <w:suff w:val="space"/>
      <w:lvlText w:val="%1."/>
      <w:lvlJc w:val="left"/>
      <w:rPr>
        <w:rFonts w:cs="Times New Roman"/>
      </w:rPr>
    </w:lvl>
  </w:abstractNum>
  <w:abstractNum w:abstractNumId="3">
    <w:nsid w:val="0000001D"/>
    <w:multiLevelType w:val="multilevel"/>
    <w:tmpl w:val="0000001D"/>
    <w:lvl w:ilvl="0" w:tentative="0">
      <w:start w:val="1"/>
      <w:numFmt w:val="decimal"/>
      <w:lvlText w:val="附件%1"/>
      <w:lvlJc w:val="left"/>
      <w:pPr>
        <w:tabs>
          <w:tab w:val="left" w:pos="1134"/>
        </w:tabs>
        <w:ind w:left="1134" w:hanging="1134"/>
      </w:pPr>
      <w:rPr>
        <w:rFonts w:hint="eastAsia" w:eastAsia="宋体" w:cs="Times New Roman"/>
        <w:b/>
        <w:i w:val="0"/>
        <w:sz w:val="28"/>
        <w:szCs w:val="28"/>
      </w:rPr>
    </w:lvl>
    <w:lvl w:ilvl="1" w:tentative="0">
      <w:start w:val="1"/>
      <w:numFmt w:val="decimal"/>
      <w:lvlText w:val="%2、"/>
      <w:lvlJc w:val="left"/>
      <w:pPr>
        <w:tabs>
          <w:tab w:val="left" w:pos="780"/>
        </w:tabs>
        <w:ind w:left="780" w:hanging="360"/>
      </w:pPr>
      <w:rPr>
        <w:rFonts w:hint="default" w:hAnsi="宋体" w:cs="Times New Roman"/>
        <w:color w:val="000000"/>
      </w:rPr>
    </w:lvl>
    <w:lvl w:ilvl="2" w:tentative="0">
      <w:start w:val="1"/>
      <w:numFmt w:val="decimal"/>
      <w:lvlText w:val="%3."/>
      <w:lvlJc w:val="left"/>
      <w:pPr>
        <w:tabs>
          <w:tab w:val="left" w:pos="1260"/>
        </w:tabs>
        <w:ind w:left="1260" w:hanging="420"/>
      </w:pPr>
      <w:rPr>
        <w:rFonts w:hint="eastAsia" w:cs="Times New Roman"/>
        <w:b/>
        <w:i w:val="0"/>
        <w:sz w:val="28"/>
        <w:szCs w:val="28"/>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52E607D"/>
    <w:multiLevelType w:val="multilevel"/>
    <w:tmpl w:val="052E607D"/>
    <w:lvl w:ilvl="0" w:tentative="0">
      <w:start w:val="10"/>
      <w:numFmt w:val="decimal"/>
      <w:lvlText w:val="附件 %1"/>
      <w:lvlJc w:val="left"/>
      <w:pPr>
        <w:ind w:left="1980" w:hanging="420"/>
      </w:pPr>
      <w:rPr>
        <w:rFonts w:hint="eastAsia" w:cs="Times New Roman"/>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5">
    <w:nsid w:val="0B00F9A0"/>
    <w:multiLevelType w:val="multilevel"/>
    <w:tmpl w:val="0B00F9A0"/>
    <w:lvl w:ilvl="0" w:tentative="0">
      <w:start w:val="1"/>
      <w:numFmt w:val="decimal"/>
      <w:suff w:val="space"/>
      <w:lvlText w:val="（%1）"/>
      <w:lvlJc w:val="left"/>
      <w:pPr>
        <w:ind w:left="1554" w:hanging="420"/>
      </w:pPr>
      <w:rPr>
        <w:rFonts w:hint="eastAsia" w:cs="Times New Roman"/>
      </w:rPr>
    </w:lvl>
    <w:lvl w:ilvl="1" w:tentative="0">
      <w:start w:val="1"/>
      <w:numFmt w:val="lowerLetter"/>
      <w:lvlText w:val="%2)"/>
      <w:lvlJc w:val="left"/>
      <w:pPr>
        <w:ind w:left="1974" w:hanging="420"/>
      </w:pPr>
      <w:rPr>
        <w:rFonts w:cs="Times New Roman"/>
      </w:rPr>
    </w:lvl>
    <w:lvl w:ilvl="2" w:tentative="0">
      <w:start w:val="1"/>
      <w:numFmt w:val="lowerRoman"/>
      <w:lvlText w:val="%3."/>
      <w:lvlJc w:val="right"/>
      <w:pPr>
        <w:ind w:left="2394" w:hanging="420"/>
      </w:pPr>
      <w:rPr>
        <w:rFonts w:cs="Times New Roman"/>
      </w:rPr>
    </w:lvl>
    <w:lvl w:ilvl="3" w:tentative="0">
      <w:start w:val="1"/>
      <w:numFmt w:val="decimal"/>
      <w:lvlText w:val="%4."/>
      <w:lvlJc w:val="left"/>
      <w:pPr>
        <w:ind w:left="2814" w:hanging="420"/>
      </w:pPr>
      <w:rPr>
        <w:rFonts w:cs="Times New Roman"/>
      </w:rPr>
    </w:lvl>
    <w:lvl w:ilvl="4" w:tentative="0">
      <w:start w:val="1"/>
      <w:numFmt w:val="lowerLetter"/>
      <w:lvlText w:val="%5)"/>
      <w:lvlJc w:val="left"/>
      <w:pPr>
        <w:ind w:left="3234" w:hanging="420"/>
      </w:pPr>
      <w:rPr>
        <w:rFonts w:cs="Times New Roman"/>
      </w:rPr>
    </w:lvl>
    <w:lvl w:ilvl="5" w:tentative="0">
      <w:start w:val="1"/>
      <w:numFmt w:val="lowerRoman"/>
      <w:lvlText w:val="%6."/>
      <w:lvlJc w:val="right"/>
      <w:pPr>
        <w:ind w:left="3654" w:hanging="420"/>
      </w:pPr>
      <w:rPr>
        <w:rFonts w:cs="Times New Roman"/>
      </w:rPr>
    </w:lvl>
    <w:lvl w:ilvl="6" w:tentative="0">
      <w:start w:val="1"/>
      <w:numFmt w:val="decimal"/>
      <w:lvlText w:val="%7."/>
      <w:lvlJc w:val="left"/>
      <w:pPr>
        <w:ind w:left="4074" w:hanging="420"/>
      </w:pPr>
      <w:rPr>
        <w:rFonts w:cs="Times New Roman"/>
      </w:rPr>
    </w:lvl>
    <w:lvl w:ilvl="7" w:tentative="0">
      <w:start w:val="1"/>
      <w:numFmt w:val="lowerLetter"/>
      <w:lvlText w:val="%8)"/>
      <w:lvlJc w:val="left"/>
      <w:pPr>
        <w:ind w:left="4494" w:hanging="420"/>
      </w:pPr>
      <w:rPr>
        <w:rFonts w:cs="Times New Roman"/>
      </w:rPr>
    </w:lvl>
    <w:lvl w:ilvl="8" w:tentative="0">
      <w:start w:val="1"/>
      <w:numFmt w:val="lowerRoman"/>
      <w:lvlText w:val="%9."/>
      <w:lvlJc w:val="right"/>
      <w:pPr>
        <w:ind w:left="4914" w:hanging="420"/>
      </w:pPr>
      <w:rPr>
        <w:rFonts w:cs="Times New Roman"/>
      </w:rPr>
    </w:lvl>
  </w:abstractNum>
  <w:abstractNum w:abstractNumId="6">
    <w:nsid w:val="0FDF0889"/>
    <w:multiLevelType w:val="multilevel"/>
    <w:tmpl w:val="0FDF0889"/>
    <w:lvl w:ilvl="0" w:tentative="0">
      <w:start w:val="1"/>
      <w:numFmt w:val="decimal"/>
      <w:lvlText w:val="附件 %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28D32E68"/>
    <w:multiLevelType w:val="singleLevel"/>
    <w:tmpl w:val="28D32E68"/>
    <w:lvl w:ilvl="0" w:tentative="0">
      <w:start w:val="5"/>
      <w:numFmt w:val="chineseCounting"/>
      <w:suff w:val="space"/>
      <w:lvlText w:val="第%1章"/>
      <w:lvlJc w:val="left"/>
      <w:rPr>
        <w:rFonts w:hint="eastAsia" w:cs="Times New Roman"/>
      </w:rPr>
    </w:lvl>
  </w:abstractNum>
  <w:abstractNum w:abstractNumId="8">
    <w:nsid w:val="2AD73212"/>
    <w:multiLevelType w:val="multilevel"/>
    <w:tmpl w:val="2AD73212"/>
    <w:lvl w:ilvl="0" w:tentative="0">
      <w:start w:val="6"/>
      <w:numFmt w:val="decimal"/>
      <w:lvlText w:val="附件 %1"/>
      <w:lvlJc w:val="left"/>
      <w:pPr>
        <w:ind w:left="420" w:hanging="420"/>
      </w:pPr>
      <w:rPr>
        <w:rFonts w:hint="eastAsia" w:cs="Times New Roman"/>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9">
    <w:nsid w:val="30014819"/>
    <w:multiLevelType w:val="multilevel"/>
    <w:tmpl w:val="30014819"/>
    <w:lvl w:ilvl="0" w:tentative="0">
      <w:start w:val="9"/>
      <w:numFmt w:val="decimal"/>
      <w:lvlText w:val="附件 %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3A8BA5D6"/>
    <w:multiLevelType w:val="multilevel"/>
    <w:tmpl w:val="3A8BA5D6"/>
    <w:lvl w:ilvl="0" w:tentative="0">
      <w:start w:val="1"/>
      <w:numFmt w:val="decimal"/>
      <w:suff w:val="space"/>
      <w:lvlText w:val="（%1）"/>
      <w:lvlJc w:val="left"/>
      <w:pPr>
        <w:ind w:left="1501" w:hanging="420"/>
      </w:pPr>
      <w:rPr>
        <w:rFonts w:hint="eastAsia" w:cs="Times New Roman"/>
      </w:rPr>
    </w:lvl>
    <w:lvl w:ilvl="1" w:tentative="0">
      <w:start w:val="1"/>
      <w:numFmt w:val="lowerLetter"/>
      <w:lvlText w:val="%2)"/>
      <w:lvlJc w:val="left"/>
      <w:pPr>
        <w:ind w:left="1921" w:hanging="420"/>
      </w:pPr>
      <w:rPr>
        <w:rFonts w:cs="Times New Roman"/>
      </w:rPr>
    </w:lvl>
    <w:lvl w:ilvl="2" w:tentative="0">
      <w:start w:val="1"/>
      <w:numFmt w:val="lowerRoman"/>
      <w:lvlText w:val="%3."/>
      <w:lvlJc w:val="right"/>
      <w:pPr>
        <w:ind w:left="2341" w:hanging="420"/>
      </w:pPr>
      <w:rPr>
        <w:rFonts w:cs="Times New Roman"/>
      </w:rPr>
    </w:lvl>
    <w:lvl w:ilvl="3" w:tentative="0">
      <w:start w:val="1"/>
      <w:numFmt w:val="decimal"/>
      <w:lvlText w:val="%4."/>
      <w:lvlJc w:val="left"/>
      <w:pPr>
        <w:ind w:left="2761" w:hanging="420"/>
      </w:pPr>
      <w:rPr>
        <w:rFonts w:cs="Times New Roman"/>
      </w:rPr>
    </w:lvl>
    <w:lvl w:ilvl="4" w:tentative="0">
      <w:start w:val="1"/>
      <w:numFmt w:val="lowerLetter"/>
      <w:lvlText w:val="%5)"/>
      <w:lvlJc w:val="left"/>
      <w:pPr>
        <w:ind w:left="3181" w:hanging="420"/>
      </w:pPr>
      <w:rPr>
        <w:rFonts w:cs="Times New Roman"/>
      </w:rPr>
    </w:lvl>
    <w:lvl w:ilvl="5" w:tentative="0">
      <w:start w:val="1"/>
      <w:numFmt w:val="lowerRoman"/>
      <w:lvlText w:val="%6."/>
      <w:lvlJc w:val="right"/>
      <w:pPr>
        <w:ind w:left="3601" w:hanging="420"/>
      </w:pPr>
      <w:rPr>
        <w:rFonts w:cs="Times New Roman"/>
      </w:rPr>
    </w:lvl>
    <w:lvl w:ilvl="6" w:tentative="0">
      <w:start w:val="1"/>
      <w:numFmt w:val="decimal"/>
      <w:lvlText w:val="%7."/>
      <w:lvlJc w:val="left"/>
      <w:pPr>
        <w:ind w:left="4021" w:hanging="420"/>
      </w:pPr>
      <w:rPr>
        <w:rFonts w:cs="Times New Roman"/>
      </w:rPr>
    </w:lvl>
    <w:lvl w:ilvl="7" w:tentative="0">
      <w:start w:val="1"/>
      <w:numFmt w:val="lowerLetter"/>
      <w:lvlText w:val="%8)"/>
      <w:lvlJc w:val="left"/>
      <w:pPr>
        <w:ind w:left="4441" w:hanging="420"/>
      </w:pPr>
      <w:rPr>
        <w:rFonts w:cs="Times New Roman"/>
      </w:rPr>
    </w:lvl>
    <w:lvl w:ilvl="8" w:tentative="0">
      <w:start w:val="1"/>
      <w:numFmt w:val="lowerRoman"/>
      <w:lvlText w:val="%9."/>
      <w:lvlJc w:val="right"/>
      <w:pPr>
        <w:ind w:left="4861" w:hanging="420"/>
      </w:pPr>
      <w:rPr>
        <w:rFonts w:cs="Times New Roman"/>
      </w:rPr>
    </w:lvl>
  </w:abstractNum>
  <w:abstractNum w:abstractNumId="11">
    <w:nsid w:val="3D0B4EDD"/>
    <w:multiLevelType w:val="multilevel"/>
    <w:tmpl w:val="3D0B4EDD"/>
    <w:lvl w:ilvl="0" w:tentative="0">
      <w:start w:val="1"/>
      <w:numFmt w:val="decimal"/>
      <w:suff w:val="space"/>
      <w:lvlText w:val="（%1）"/>
      <w:lvlJc w:val="left"/>
      <w:pPr>
        <w:ind w:left="1554" w:hanging="420"/>
      </w:pPr>
      <w:rPr>
        <w:rFonts w:hint="eastAsia" w:cs="Times New Roman"/>
      </w:rPr>
    </w:lvl>
    <w:lvl w:ilvl="1" w:tentative="0">
      <w:start w:val="1"/>
      <w:numFmt w:val="lowerLetter"/>
      <w:lvlText w:val="%2)"/>
      <w:lvlJc w:val="left"/>
      <w:pPr>
        <w:ind w:left="1974" w:hanging="420"/>
      </w:pPr>
      <w:rPr>
        <w:rFonts w:cs="Times New Roman"/>
      </w:rPr>
    </w:lvl>
    <w:lvl w:ilvl="2" w:tentative="0">
      <w:start w:val="1"/>
      <w:numFmt w:val="lowerRoman"/>
      <w:lvlText w:val="%3."/>
      <w:lvlJc w:val="right"/>
      <w:pPr>
        <w:ind w:left="2394" w:hanging="420"/>
      </w:pPr>
      <w:rPr>
        <w:rFonts w:cs="Times New Roman"/>
      </w:rPr>
    </w:lvl>
    <w:lvl w:ilvl="3" w:tentative="0">
      <w:start w:val="1"/>
      <w:numFmt w:val="decimal"/>
      <w:lvlText w:val="%4."/>
      <w:lvlJc w:val="left"/>
      <w:pPr>
        <w:ind w:left="2814" w:hanging="420"/>
      </w:pPr>
      <w:rPr>
        <w:rFonts w:cs="Times New Roman"/>
      </w:rPr>
    </w:lvl>
    <w:lvl w:ilvl="4" w:tentative="0">
      <w:start w:val="1"/>
      <w:numFmt w:val="lowerLetter"/>
      <w:lvlText w:val="%5)"/>
      <w:lvlJc w:val="left"/>
      <w:pPr>
        <w:ind w:left="3234" w:hanging="420"/>
      </w:pPr>
      <w:rPr>
        <w:rFonts w:cs="Times New Roman"/>
      </w:rPr>
    </w:lvl>
    <w:lvl w:ilvl="5" w:tentative="0">
      <w:start w:val="1"/>
      <w:numFmt w:val="lowerRoman"/>
      <w:lvlText w:val="%6."/>
      <w:lvlJc w:val="right"/>
      <w:pPr>
        <w:ind w:left="3654" w:hanging="420"/>
      </w:pPr>
      <w:rPr>
        <w:rFonts w:cs="Times New Roman"/>
      </w:rPr>
    </w:lvl>
    <w:lvl w:ilvl="6" w:tentative="0">
      <w:start w:val="1"/>
      <w:numFmt w:val="decimal"/>
      <w:lvlText w:val="%7."/>
      <w:lvlJc w:val="left"/>
      <w:pPr>
        <w:ind w:left="4074" w:hanging="420"/>
      </w:pPr>
      <w:rPr>
        <w:rFonts w:cs="Times New Roman"/>
      </w:rPr>
    </w:lvl>
    <w:lvl w:ilvl="7" w:tentative="0">
      <w:start w:val="1"/>
      <w:numFmt w:val="lowerLetter"/>
      <w:lvlText w:val="%8)"/>
      <w:lvlJc w:val="left"/>
      <w:pPr>
        <w:ind w:left="4494" w:hanging="420"/>
      </w:pPr>
      <w:rPr>
        <w:rFonts w:cs="Times New Roman"/>
      </w:rPr>
    </w:lvl>
    <w:lvl w:ilvl="8" w:tentative="0">
      <w:start w:val="1"/>
      <w:numFmt w:val="lowerRoman"/>
      <w:lvlText w:val="%9."/>
      <w:lvlJc w:val="right"/>
      <w:pPr>
        <w:ind w:left="4914" w:hanging="420"/>
      </w:pPr>
      <w:rPr>
        <w:rFonts w:cs="Times New Roman"/>
      </w:rPr>
    </w:lvl>
  </w:abstractNum>
  <w:abstractNum w:abstractNumId="12">
    <w:nsid w:val="5AA8DCB0"/>
    <w:multiLevelType w:val="singleLevel"/>
    <w:tmpl w:val="5AA8DCB0"/>
    <w:lvl w:ilvl="0" w:tentative="0">
      <w:start w:val="1"/>
      <w:numFmt w:val="decimal"/>
      <w:suff w:val="nothing"/>
      <w:lvlText w:val="%1、"/>
      <w:lvlJc w:val="left"/>
      <w:rPr>
        <w:rFonts w:cs="Times New Roman"/>
      </w:rPr>
    </w:lvl>
  </w:abstractNum>
  <w:abstractNum w:abstractNumId="13">
    <w:nsid w:val="5AAB3475"/>
    <w:multiLevelType w:val="singleLevel"/>
    <w:tmpl w:val="5AAB3475"/>
    <w:lvl w:ilvl="0" w:tentative="0">
      <w:start w:val="1"/>
      <w:numFmt w:val="decimal"/>
      <w:lvlText w:val="%1."/>
      <w:lvlJc w:val="left"/>
      <w:pPr>
        <w:ind w:left="425" w:hanging="425"/>
      </w:pPr>
      <w:rPr>
        <w:rFonts w:hint="default" w:cs="Times New Roman"/>
      </w:rPr>
    </w:lvl>
  </w:abstractNum>
  <w:abstractNum w:abstractNumId="14">
    <w:nsid w:val="5AAB3487"/>
    <w:multiLevelType w:val="singleLevel"/>
    <w:tmpl w:val="5AAB3487"/>
    <w:lvl w:ilvl="0" w:tentative="0">
      <w:start w:val="1"/>
      <w:numFmt w:val="decimal"/>
      <w:lvlText w:val="%1)"/>
      <w:lvlJc w:val="left"/>
      <w:pPr>
        <w:ind w:left="425" w:hanging="425"/>
      </w:pPr>
      <w:rPr>
        <w:rFonts w:hint="default" w:cs="Times New Roman"/>
      </w:rPr>
    </w:lvl>
  </w:abstractNum>
  <w:abstractNum w:abstractNumId="15">
    <w:nsid w:val="5AE657CC"/>
    <w:multiLevelType w:val="multilevel"/>
    <w:tmpl w:val="5AE657CC"/>
    <w:lvl w:ilvl="0" w:tentative="0">
      <w:start w:val="1"/>
      <w:numFmt w:val="decimal"/>
      <w:suff w:val="space"/>
      <w:lvlText w:val="（%1）"/>
      <w:lvlJc w:val="left"/>
      <w:pPr>
        <w:ind w:left="1499" w:hanging="420"/>
      </w:pPr>
      <w:rPr>
        <w:rFonts w:hint="eastAsia" w:cs="Times New Roman"/>
      </w:rPr>
    </w:lvl>
    <w:lvl w:ilvl="1" w:tentative="0">
      <w:start w:val="1"/>
      <w:numFmt w:val="lowerLetter"/>
      <w:lvlText w:val="%2)"/>
      <w:lvlJc w:val="left"/>
      <w:pPr>
        <w:ind w:left="1919" w:hanging="420"/>
      </w:pPr>
      <w:rPr>
        <w:rFonts w:cs="Times New Roman"/>
      </w:rPr>
    </w:lvl>
    <w:lvl w:ilvl="2" w:tentative="0">
      <w:start w:val="1"/>
      <w:numFmt w:val="lowerRoman"/>
      <w:lvlText w:val="%3."/>
      <w:lvlJc w:val="right"/>
      <w:pPr>
        <w:ind w:left="2339" w:hanging="420"/>
      </w:pPr>
      <w:rPr>
        <w:rFonts w:cs="Times New Roman"/>
      </w:rPr>
    </w:lvl>
    <w:lvl w:ilvl="3" w:tentative="0">
      <w:start w:val="1"/>
      <w:numFmt w:val="decimal"/>
      <w:lvlText w:val="%4."/>
      <w:lvlJc w:val="left"/>
      <w:pPr>
        <w:ind w:left="2759" w:hanging="420"/>
      </w:pPr>
      <w:rPr>
        <w:rFonts w:cs="Times New Roman"/>
      </w:rPr>
    </w:lvl>
    <w:lvl w:ilvl="4" w:tentative="0">
      <w:start w:val="1"/>
      <w:numFmt w:val="lowerLetter"/>
      <w:lvlText w:val="%5)"/>
      <w:lvlJc w:val="left"/>
      <w:pPr>
        <w:ind w:left="3179" w:hanging="420"/>
      </w:pPr>
      <w:rPr>
        <w:rFonts w:cs="Times New Roman"/>
      </w:rPr>
    </w:lvl>
    <w:lvl w:ilvl="5" w:tentative="0">
      <w:start w:val="1"/>
      <w:numFmt w:val="lowerRoman"/>
      <w:lvlText w:val="%6."/>
      <w:lvlJc w:val="right"/>
      <w:pPr>
        <w:ind w:left="3599" w:hanging="420"/>
      </w:pPr>
      <w:rPr>
        <w:rFonts w:cs="Times New Roman"/>
      </w:rPr>
    </w:lvl>
    <w:lvl w:ilvl="6" w:tentative="0">
      <w:start w:val="1"/>
      <w:numFmt w:val="decimal"/>
      <w:lvlText w:val="%7."/>
      <w:lvlJc w:val="left"/>
      <w:pPr>
        <w:ind w:left="4019" w:hanging="420"/>
      </w:pPr>
      <w:rPr>
        <w:rFonts w:cs="Times New Roman"/>
      </w:rPr>
    </w:lvl>
    <w:lvl w:ilvl="7" w:tentative="0">
      <w:start w:val="1"/>
      <w:numFmt w:val="lowerLetter"/>
      <w:lvlText w:val="%8)"/>
      <w:lvlJc w:val="left"/>
      <w:pPr>
        <w:ind w:left="4439" w:hanging="420"/>
      </w:pPr>
      <w:rPr>
        <w:rFonts w:cs="Times New Roman"/>
      </w:rPr>
    </w:lvl>
    <w:lvl w:ilvl="8" w:tentative="0">
      <w:start w:val="1"/>
      <w:numFmt w:val="lowerRoman"/>
      <w:lvlText w:val="%9."/>
      <w:lvlJc w:val="right"/>
      <w:pPr>
        <w:ind w:left="4859" w:hanging="420"/>
      </w:pPr>
      <w:rPr>
        <w:rFonts w:cs="Times New Roman"/>
      </w:rPr>
    </w:lvl>
  </w:abstractNum>
  <w:abstractNum w:abstractNumId="16">
    <w:nsid w:val="6384076F"/>
    <w:multiLevelType w:val="multilevel"/>
    <w:tmpl w:val="6384076F"/>
    <w:lvl w:ilvl="0" w:tentative="0">
      <w:start w:val="1"/>
      <w:numFmt w:val="decimal"/>
      <w:lvlText w:val="（%1）"/>
      <w:lvlJc w:val="left"/>
      <w:pPr>
        <w:tabs>
          <w:tab w:val="left" w:pos="1122"/>
        </w:tabs>
        <w:ind w:left="1122"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7">
    <w:nsid w:val="72B347A5"/>
    <w:multiLevelType w:val="multilevel"/>
    <w:tmpl w:val="72B347A5"/>
    <w:lvl w:ilvl="0" w:tentative="0">
      <w:start w:val="1"/>
      <w:numFmt w:val="decimal"/>
      <w:suff w:val="space"/>
      <w:lvlText w:val="（%1）"/>
      <w:lvlJc w:val="left"/>
      <w:pPr>
        <w:ind w:left="1499" w:hanging="420"/>
      </w:pPr>
      <w:rPr>
        <w:rFonts w:hint="eastAsia" w:cs="Times New Roman"/>
      </w:rPr>
    </w:lvl>
    <w:lvl w:ilvl="1" w:tentative="0">
      <w:start w:val="1"/>
      <w:numFmt w:val="lowerLetter"/>
      <w:lvlText w:val="%2)"/>
      <w:lvlJc w:val="left"/>
      <w:pPr>
        <w:ind w:left="1919" w:hanging="420"/>
      </w:pPr>
      <w:rPr>
        <w:rFonts w:cs="Times New Roman"/>
      </w:rPr>
    </w:lvl>
    <w:lvl w:ilvl="2" w:tentative="0">
      <w:start w:val="1"/>
      <w:numFmt w:val="lowerRoman"/>
      <w:lvlText w:val="%3."/>
      <w:lvlJc w:val="right"/>
      <w:pPr>
        <w:ind w:left="2339" w:hanging="420"/>
      </w:pPr>
      <w:rPr>
        <w:rFonts w:cs="Times New Roman"/>
      </w:rPr>
    </w:lvl>
    <w:lvl w:ilvl="3" w:tentative="0">
      <w:start w:val="1"/>
      <w:numFmt w:val="decimal"/>
      <w:lvlText w:val="%4."/>
      <w:lvlJc w:val="left"/>
      <w:pPr>
        <w:ind w:left="2759" w:hanging="420"/>
      </w:pPr>
      <w:rPr>
        <w:rFonts w:cs="Times New Roman"/>
      </w:rPr>
    </w:lvl>
    <w:lvl w:ilvl="4" w:tentative="0">
      <w:start w:val="1"/>
      <w:numFmt w:val="lowerLetter"/>
      <w:lvlText w:val="%5)"/>
      <w:lvlJc w:val="left"/>
      <w:pPr>
        <w:ind w:left="3179" w:hanging="420"/>
      </w:pPr>
      <w:rPr>
        <w:rFonts w:cs="Times New Roman"/>
      </w:rPr>
    </w:lvl>
    <w:lvl w:ilvl="5" w:tentative="0">
      <w:start w:val="1"/>
      <w:numFmt w:val="lowerRoman"/>
      <w:lvlText w:val="%6."/>
      <w:lvlJc w:val="right"/>
      <w:pPr>
        <w:ind w:left="3599" w:hanging="420"/>
      </w:pPr>
      <w:rPr>
        <w:rFonts w:cs="Times New Roman"/>
      </w:rPr>
    </w:lvl>
    <w:lvl w:ilvl="6" w:tentative="0">
      <w:start w:val="1"/>
      <w:numFmt w:val="decimal"/>
      <w:lvlText w:val="%7."/>
      <w:lvlJc w:val="left"/>
      <w:pPr>
        <w:ind w:left="4019" w:hanging="420"/>
      </w:pPr>
      <w:rPr>
        <w:rFonts w:cs="Times New Roman"/>
      </w:rPr>
    </w:lvl>
    <w:lvl w:ilvl="7" w:tentative="0">
      <w:start w:val="1"/>
      <w:numFmt w:val="lowerLetter"/>
      <w:lvlText w:val="%8)"/>
      <w:lvlJc w:val="left"/>
      <w:pPr>
        <w:ind w:left="4439" w:hanging="420"/>
      </w:pPr>
      <w:rPr>
        <w:rFonts w:cs="Times New Roman"/>
      </w:rPr>
    </w:lvl>
    <w:lvl w:ilvl="8" w:tentative="0">
      <w:start w:val="1"/>
      <w:numFmt w:val="lowerRoman"/>
      <w:lvlText w:val="%9."/>
      <w:lvlJc w:val="right"/>
      <w:pPr>
        <w:ind w:left="4859" w:hanging="420"/>
      </w:pPr>
      <w:rPr>
        <w:rFonts w:cs="Times New Roman"/>
      </w:rPr>
    </w:lvl>
  </w:abstractNum>
  <w:abstractNum w:abstractNumId="18">
    <w:nsid w:val="75047303"/>
    <w:multiLevelType w:val="multilevel"/>
    <w:tmpl w:val="75047303"/>
    <w:lvl w:ilvl="0" w:tentative="0">
      <w:start w:val="1"/>
      <w:numFmt w:val="decimal"/>
      <w:lvlText w:val="%1"/>
      <w:lvlJc w:val="left"/>
      <w:pPr>
        <w:tabs>
          <w:tab w:val="left" w:pos="1077"/>
        </w:tabs>
        <w:ind w:left="1077" w:hanging="1077"/>
      </w:pPr>
      <w:rPr>
        <w:rFonts w:hint="eastAsia" w:cs="Times New Roman"/>
      </w:rPr>
    </w:lvl>
    <w:lvl w:ilvl="1" w:tentative="0">
      <w:start w:val="1"/>
      <w:numFmt w:val="decimal"/>
      <w:lvlText w:val="%1.%2"/>
      <w:lvlJc w:val="left"/>
      <w:pPr>
        <w:tabs>
          <w:tab w:val="left" w:pos="1077"/>
        </w:tabs>
        <w:ind w:left="1077" w:hanging="107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9">
    <w:nsid w:val="7C108F8A"/>
    <w:multiLevelType w:val="multilevel"/>
    <w:tmpl w:val="7C108F8A"/>
    <w:lvl w:ilvl="0" w:tentative="0">
      <w:start w:val="1"/>
      <w:numFmt w:val="decimal"/>
      <w:suff w:val="space"/>
      <w:lvlText w:val="（%1）"/>
      <w:lvlJc w:val="left"/>
      <w:pPr>
        <w:ind w:left="1552" w:hanging="420"/>
      </w:pPr>
      <w:rPr>
        <w:rFonts w:hint="eastAsia" w:cs="Times New Roman"/>
      </w:rPr>
    </w:lvl>
    <w:lvl w:ilvl="1" w:tentative="0">
      <w:start w:val="1"/>
      <w:numFmt w:val="decimal"/>
      <w:lvlText w:val="%2"/>
      <w:lvlJc w:val="left"/>
      <w:pPr>
        <w:ind w:left="1912" w:hanging="360"/>
      </w:pPr>
      <w:rPr>
        <w:rFonts w:hint="default" w:cs="Times New Roman"/>
      </w:rPr>
    </w:lvl>
    <w:lvl w:ilvl="2" w:tentative="0">
      <w:start w:val="1"/>
      <w:numFmt w:val="decimal"/>
      <w:lvlText w:val="(%3)"/>
      <w:lvlJc w:val="left"/>
      <w:pPr>
        <w:ind w:left="2557" w:hanging="585"/>
      </w:pPr>
      <w:rPr>
        <w:rFonts w:hint="default" w:cs="Times New Roman"/>
      </w:rPr>
    </w:lvl>
    <w:lvl w:ilvl="3" w:tentative="0">
      <w:start w:val="1"/>
      <w:numFmt w:val="decimal"/>
      <w:lvlText w:val="%4."/>
      <w:lvlJc w:val="left"/>
      <w:pPr>
        <w:ind w:left="2812" w:hanging="420"/>
      </w:pPr>
      <w:rPr>
        <w:rFonts w:cs="Times New Roman"/>
      </w:rPr>
    </w:lvl>
    <w:lvl w:ilvl="4" w:tentative="0">
      <w:start w:val="1"/>
      <w:numFmt w:val="lowerLetter"/>
      <w:lvlText w:val="%5)"/>
      <w:lvlJc w:val="left"/>
      <w:pPr>
        <w:ind w:left="3232" w:hanging="420"/>
      </w:pPr>
      <w:rPr>
        <w:rFonts w:cs="Times New Roman"/>
      </w:rPr>
    </w:lvl>
    <w:lvl w:ilvl="5" w:tentative="0">
      <w:start w:val="1"/>
      <w:numFmt w:val="lowerRoman"/>
      <w:lvlText w:val="%6."/>
      <w:lvlJc w:val="right"/>
      <w:pPr>
        <w:ind w:left="3652" w:hanging="420"/>
      </w:pPr>
      <w:rPr>
        <w:rFonts w:cs="Times New Roman"/>
      </w:rPr>
    </w:lvl>
    <w:lvl w:ilvl="6" w:tentative="0">
      <w:start w:val="1"/>
      <w:numFmt w:val="decimal"/>
      <w:lvlText w:val="%7."/>
      <w:lvlJc w:val="left"/>
      <w:pPr>
        <w:ind w:left="4072" w:hanging="420"/>
      </w:pPr>
      <w:rPr>
        <w:rFonts w:cs="Times New Roman"/>
      </w:rPr>
    </w:lvl>
    <w:lvl w:ilvl="7" w:tentative="0">
      <w:start w:val="1"/>
      <w:numFmt w:val="lowerLetter"/>
      <w:lvlText w:val="%8)"/>
      <w:lvlJc w:val="left"/>
      <w:pPr>
        <w:ind w:left="4492" w:hanging="420"/>
      </w:pPr>
      <w:rPr>
        <w:rFonts w:cs="Times New Roman"/>
      </w:rPr>
    </w:lvl>
    <w:lvl w:ilvl="8" w:tentative="0">
      <w:start w:val="1"/>
      <w:numFmt w:val="lowerRoman"/>
      <w:lvlText w:val="%9."/>
      <w:lvlJc w:val="right"/>
      <w:pPr>
        <w:ind w:left="4912" w:hanging="420"/>
      </w:pPr>
      <w:rPr>
        <w:rFonts w:cs="Times New Roman"/>
      </w:rPr>
    </w:lvl>
  </w:abstractNum>
  <w:abstractNum w:abstractNumId="20">
    <w:nsid w:val="7D02762D"/>
    <w:multiLevelType w:val="multilevel"/>
    <w:tmpl w:val="7D02762D"/>
    <w:lvl w:ilvl="0" w:tentative="0">
      <w:start w:val="1"/>
      <w:numFmt w:val="decimal"/>
      <w:suff w:val="space"/>
      <w:lvlText w:val="（%1）"/>
      <w:lvlJc w:val="left"/>
      <w:pPr>
        <w:ind w:left="1499" w:hanging="420"/>
      </w:pPr>
      <w:rPr>
        <w:rFonts w:hint="eastAsia" w:cs="Times New Roman"/>
      </w:rPr>
    </w:lvl>
    <w:lvl w:ilvl="1" w:tentative="0">
      <w:start w:val="1"/>
      <w:numFmt w:val="lowerLetter"/>
      <w:lvlText w:val="%2)"/>
      <w:lvlJc w:val="left"/>
      <w:pPr>
        <w:ind w:left="1919" w:hanging="420"/>
      </w:pPr>
      <w:rPr>
        <w:rFonts w:cs="Times New Roman"/>
      </w:rPr>
    </w:lvl>
    <w:lvl w:ilvl="2" w:tentative="0">
      <w:start w:val="1"/>
      <w:numFmt w:val="lowerRoman"/>
      <w:lvlText w:val="%3."/>
      <w:lvlJc w:val="right"/>
      <w:pPr>
        <w:ind w:left="2339" w:hanging="420"/>
      </w:pPr>
      <w:rPr>
        <w:rFonts w:cs="Times New Roman"/>
      </w:rPr>
    </w:lvl>
    <w:lvl w:ilvl="3" w:tentative="0">
      <w:start w:val="1"/>
      <w:numFmt w:val="decimal"/>
      <w:lvlText w:val="%4."/>
      <w:lvlJc w:val="left"/>
      <w:pPr>
        <w:ind w:left="2759" w:hanging="420"/>
      </w:pPr>
      <w:rPr>
        <w:rFonts w:cs="Times New Roman"/>
      </w:rPr>
    </w:lvl>
    <w:lvl w:ilvl="4" w:tentative="0">
      <w:start w:val="1"/>
      <w:numFmt w:val="lowerLetter"/>
      <w:lvlText w:val="%5)"/>
      <w:lvlJc w:val="left"/>
      <w:pPr>
        <w:ind w:left="3179" w:hanging="420"/>
      </w:pPr>
      <w:rPr>
        <w:rFonts w:cs="Times New Roman"/>
      </w:rPr>
    </w:lvl>
    <w:lvl w:ilvl="5" w:tentative="0">
      <w:start w:val="1"/>
      <w:numFmt w:val="lowerRoman"/>
      <w:lvlText w:val="%6."/>
      <w:lvlJc w:val="right"/>
      <w:pPr>
        <w:ind w:left="3599" w:hanging="420"/>
      </w:pPr>
      <w:rPr>
        <w:rFonts w:cs="Times New Roman"/>
      </w:rPr>
    </w:lvl>
    <w:lvl w:ilvl="6" w:tentative="0">
      <w:start w:val="1"/>
      <w:numFmt w:val="decimal"/>
      <w:lvlText w:val="%7."/>
      <w:lvlJc w:val="left"/>
      <w:pPr>
        <w:ind w:left="4019" w:hanging="420"/>
      </w:pPr>
      <w:rPr>
        <w:rFonts w:cs="Times New Roman"/>
      </w:rPr>
    </w:lvl>
    <w:lvl w:ilvl="7" w:tentative="0">
      <w:start w:val="1"/>
      <w:numFmt w:val="lowerLetter"/>
      <w:lvlText w:val="%8)"/>
      <w:lvlJc w:val="left"/>
      <w:pPr>
        <w:ind w:left="4439" w:hanging="420"/>
      </w:pPr>
      <w:rPr>
        <w:rFonts w:cs="Times New Roman"/>
      </w:rPr>
    </w:lvl>
    <w:lvl w:ilvl="8" w:tentative="0">
      <w:start w:val="1"/>
      <w:numFmt w:val="lowerRoman"/>
      <w:lvlText w:val="%9."/>
      <w:lvlJc w:val="right"/>
      <w:pPr>
        <w:ind w:left="4859" w:hanging="420"/>
      </w:pPr>
      <w:rPr>
        <w:rFonts w:cs="Times New Roman"/>
      </w:rPr>
    </w:lvl>
  </w:abstractNum>
  <w:num w:numId="1">
    <w:abstractNumId w:val="2"/>
  </w:num>
  <w:num w:numId="2">
    <w:abstractNumId w:val="0"/>
  </w:num>
  <w:num w:numId="3">
    <w:abstractNumId w:val="15"/>
  </w:num>
  <w:num w:numId="4">
    <w:abstractNumId w:val="20"/>
  </w:num>
  <w:num w:numId="5">
    <w:abstractNumId w:val="17"/>
  </w:num>
  <w:num w:numId="6">
    <w:abstractNumId w:val="10"/>
  </w:num>
  <w:num w:numId="7">
    <w:abstractNumId w:val="11"/>
  </w:num>
  <w:num w:numId="8">
    <w:abstractNumId w:val="5"/>
  </w:num>
  <w:num w:numId="9">
    <w:abstractNumId w:val="19"/>
  </w:num>
  <w:num w:numId="10">
    <w:abstractNumId w:val="1"/>
  </w:num>
  <w:num w:numId="11">
    <w:abstractNumId w:val="18"/>
  </w:num>
  <w:num w:numId="12">
    <w:abstractNumId w:val="13"/>
  </w:num>
  <w:num w:numId="13">
    <w:abstractNumId w:val="14"/>
  </w:num>
  <w:num w:numId="14">
    <w:abstractNumId w:val="7"/>
  </w:num>
  <w:num w:numId="15">
    <w:abstractNumId w:val="6"/>
  </w:num>
  <w:num w:numId="16">
    <w:abstractNumId w:val="8"/>
  </w:num>
  <w:num w:numId="17">
    <w:abstractNumId w:val="3"/>
  </w:num>
  <w:num w:numId="18">
    <w:abstractNumId w:val="12"/>
  </w:num>
  <w:num w:numId="19">
    <w:abstractNumId w:val="9"/>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mNmI5MmQ2YmFmYzRhZmM3MzBjODcyNzM3MjUyODUifQ=="/>
  </w:docVars>
  <w:rsids>
    <w:rsidRoot w:val="00172A27"/>
    <w:rsid w:val="00000884"/>
    <w:rsid w:val="000064FD"/>
    <w:rsid w:val="00010496"/>
    <w:rsid w:val="00014886"/>
    <w:rsid w:val="00015802"/>
    <w:rsid w:val="00021791"/>
    <w:rsid w:val="000232AE"/>
    <w:rsid w:val="0002420B"/>
    <w:rsid w:val="00024B32"/>
    <w:rsid w:val="00024B95"/>
    <w:rsid w:val="0002749B"/>
    <w:rsid w:val="00032E55"/>
    <w:rsid w:val="000360C5"/>
    <w:rsid w:val="00045687"/>
    <w:rsid w:val="000466B9"/>
    <w:rsid w:val="00046F48"/>
    <w:rsid w:val="000545A6"/>
    <w:rsid w:val="000614CB"/>
    <w:rsid w:val="00061794"/>
    <w:rsid w:val="000648E7"/>
    <w:rsid w:val="000654BF"/>
    <w:rsid w:val="00073A1F"/>
    <w:rsid w:val="000833C0"/>
    <w:rsid w:val="000877D3"/>
    <w:rsid w:val="00090700"/>
    <w:rsid w:val="000910B5"/>
    <w:rsid w:val="00091B1D"/>
    <w:rsid w:val="000A1B43"/>
    <w:rsid w:val="000A77EC"/>
    <w:rsid w:val="000B167D"/>
    <w:rsid w:val="000B2ECE"/>
    <w:rsid w:val="000C316C"/>
    <w:rsid w:val="000C7476"/>
    <w:rsid w:val="000D24F2"/>
    <w:rsid w:val="000D44DC"/>
    <w:rsid w:val="000D6301"/>
    <w:rsid w:val="000D7CC3"/>
    <w:rsid w:val="000E0668"/>
    <w:rsid w:val="000E2DA7"/>
    <w:rsid w:val="000F0F18"/>
    <w:rsid w:val="000F19F9"/>
    <w:rsid w:val="000F6008"/>
    <w:rsid w:val="00112B4F"/>
    <w:rsid w:val="00116E9F"/>
    <w:rsid w:val="00117E1C"/>
    <w:rsid w:val="00122931"/>
    <w:rsid w:val="00132B46"/>
    <w:rsid w:val="001356FC"/>
    <w:rsid w:val="001449F1"/>
    <w:rsid w:val="00150148"/>
    <w:rsid w:val="00155AC7"/>
    <w:rsid w:val="00161B23"/>
    <w:rsid w:val="001657F0"/>
    <w:rsid w:val="0017154F"/>
    <w:rsid w:val="00172691"/>
    <w:rsid w:val="00172A27"/>
    <w:rsid w:val="001736E5"/>
    <w:rsid w:val="00173BDC"/>
    <w:rsid w:val="001807A4"/>
    <w:rsid w:val="00183A91"/>
    <w:rsid w:val="0019007F"/>
    <w:rsid w:val="00190A97"/>
    <w:rsid w:val="001A33B1"/>
    <w:rsid w:val="001A412A"/>
    <w:rsid w:val="001A720A"/>
    <w:rsid w:val="001A7B2B"/>
    <w:rsid w:val="001B28C3"/>
    <w:rsid w:val="001B352F"/>
    <w:rsid w:val="001B37EE"/>
    <w:rsid w:val="001B42FF"/>
    <w:rsid w:val="001B4B7F"/>
    <w:rsid w:val="001C3BE4"/>
    <w:rsid w:val="001D345D"/>
    <w:rsid w:val="001E2C0B"/>
    <w:rsid w:val="001E32AA"/>
    <w:rsid w:val="001F01FE"/>
    <w:rsid w:val="00206A1F"/>
    <w:rsid w:val="00207765"/>
    <w:rsid w:val="00210701"/>
    <w:rsid w:val="002145D4"/>
    <w:rsid w:val="00214910"/>
    <w:rsid w:val="00216187"/>
    <w:rsid w:val="002240C9"/>
    <w:rsid w:val="002262BF"/>
    <w:rsid w:val="00230EA9"/>
    <w:rsid w:val="002314E3"/>
    <w:rsid w:val="00232408"/>
    <w:rsid w:val="00240844"/>
    <w:rsid w:val="002475A0"/>
    <w:rsid w:val="00254724"/>
    <w:rsid w:val="00254AC3"/>
    <w:rsid w:val="00256B42"/>
    <w:rsid w:val="00257824"/>
    <w:rsid w:val="00261ED6"/>
    <w:rsid w:val="00262DA8"/>
    <w:rsid w:val="00263BCC"/>
    <w:rsid w:val="002647A9"/>
    <w:rsid w:val="00267FF2"/>
    <w:rsid w:val="0028131F"/>
    <w:rsid w:val="00284C9A"/>
    <w:rsid w:val="00285B68"/>
    <w:rsid w:val="00286A86"/>
    <w:rsid w:val="00287904"/>
    <w:rsid w:val="002927E5"/>
    <w:rsid w:val="00292C54"/>
    <w:rsid w:val="002953B8"/>
    <w:rsid w:val="002A02FF"/>
    <w:rsid w:val="002A44FA"/>
    <w:rsid w:val="002B135A"/>
    <w:rsid w:val="002B1649"/>
    <w:rsid w:val="002C644D"/>
    <w:rsid w:val="002D3747"/>
    <w:rsid w:val="002D3DB2"/>
    <w:rsid w:val="002D5449"/>
    <w:rsid w:val="002D74C2"/>
    <w:rsid w:val="002E1DE9"/>
    <w:rsid w:val="002E289C"/>
    <w:rsid w:val="002E2BFC"/>
    <w:rsid w:val="002E41DD"/>
    <w:rsid w:val="002E56B8"/>
    <w:rsid w:val="002E762F"/>
    <w:rsid w:val="002F0728"/>
    <w:rsid w:val="002F2D9C"/>
    <w:rsid w:val="003026FB"/>
    <w:rsid w:val="0030500F"/>
    <w:rsid w:val="003146EF"/>
    <w:rsid w:val="00315889"/>
    <w:rsid w:val="00321174"/>
    <w:rsid w:val="0032529C"/>
    <w:rsid w:val="0033158D"/>
    <w:rsid w:val="00331FB7"/>
    <w:rsid w:val="003341A9"/>
    <w:rsid w:val="00335F69"/>
    <w:rsid w:val="00341DBA"/>
    <w:rsid w:val="0034523B"/>
    <w:rsid w:val="003477BC"/>
    <w:rsid w:val="0035229C"/>
    <w:rsid w:val="003530E1"/>
    <w:rsid w:val="00353FD1"/>
    <w:rsid w:val="00356439"/>
    <w:rsid w:val="00357B83"/>
    <w:rsid w:val="00360F1B"/>
    <w:rsid w:val="00362543"/>
    <w:rsid w:val="00370506"/>
    <w:rsid w:val="0037384E"/>
    <w:rsid w:val="00376E5D"/>
    <w:rsid w:val="00385A09"/>
    <w:rsid w:val="003A1957"/>
    <w:rsid w:val="003A7586"/>
    <w:rsid w:val="003B011B"/>
    <w:rsid w:val="003B2E5F"/>
    <w:rsid w:val="003B3C2D"/>
    <w:rsid w:val="003B5B75"/>
    <w:rsid w:val="003C4E72"/>
    <w:rsid w:val="003C6299"/>
    <w:rsid w:val="003C6513"/>
    <w:rsid w:val="003D2717"/>
    <w:rsid w:val="003D42CA"/>
    <w:rsid w:val="003D7379"/>
    <w:rsid w:val="003D7E26"/>
    <w:rsid w:val="003E3951"/>
    <w:rsid w:val="003E4381"/>
    <w:rsid w:val="003E58A3"/>
    <w:rsid w:val="003E7706"/>
    <w:rsid w:val="003F4D90"/>
    <w:rsid w:val="00402CD3"/>
    <w:rsid w:val="00402EC9"/>
    <w:rsid w:val="00405E36"/>
    <w:rsid w:val="0040775F"/>
    <w:rsid w:val="00412ADF"/>
    <w:rsid w:val="0041555B"/>
    <w:rsid w:val="00417D05"/>
    <w:rsid w:val="0043042B"/>
    <w:rsid w:val="00435765"/>
    <w:rsid w:val="00442143"/>
    <w:rsid w:val="004433B2"/>
    <w:rsid w:val="00445AE8"/>
    <w:rsid w:val="0044650A"/>
    <w:rsid w:val="004467FF"/>
    <w:rsid w:val="004517A2"/>
    <w:rsid w:val="004525D2"/>
    <w:rsid w:val="00453FAB"/>
    <w:rsid w:val="004547CA"/>
    <w:rsid w:val="004553F2"/>
    <w:rsid w:val="004570E3"/>
    <w:rsid w:val="00464702"/>
    <w:rsid w:val="00465EC9"/>
    <w:rsid w:val="00470B99"/>
    <w:rsid w:val="00473845"/>
    <w:rsid w:val="00475291"/>
    <w:rsid w:val="00481A8C"/>
    <w:rsid w:val="00485494"/>
    <w:rsid w:val="004914C5"/>
    <w:rsid w:val="004A012A"/>
    <w:rsid w:val="004A0EB4"/>
    <w:rsid w:val="004A15AD"/>
    <w:rsid w:val="004A7870"/>
    <w:rsid w:val="004B1642"/>
    <w:rsid w:val="004B16B9"/>
    <w:rsid w:val="004B16F1"/>
    <w:rsid w:val="004B2C24"/>
    <w:rsid w:val="004B59D8"/>
    <w:rsid w:val="004C1AE3"/>
    <w:rsid w:val="004C41AC"/>
    <w:rsid w:val="004D1631"/>
    <w:rsid w:val="004D1783"/>
    <w:rsid w:val="004D466F"/>
    <w:rsid w:val="004D53C3"/>
    <w:rsid w:val="004D58CD"/>
    <w:rsid w:val="004D6328"/>
    <w:rsid w:val="004D79AC"/>
    <w:rsid w:val="004E0958"/>
    <w:rsid w:val="004E0CCF"/>
    <w:rsid w:val="004F0462"/>
    <w:rsid w:val="004F6577"/>
    <w:rsid w:val="005023D0"/>
    <w:rsid w:val="005032E0"/>
    <w:rsid w:val="00503B66"/>
    <w:rsid w:val="00503F84"/>
    <w:rsid w:val="00510430"/>
    <w:rsid w:val="00512853"/>
    <w:rsid w:val="0051758A"/>
    <w:rsid w:val="00523B21"/>
    <w:rsid w:val="005270C3"/>
    <w:rsid w:val="00527F7E"/>
    <w:rsid w:val="00530097"/>
    <w:rsid w:val="00530448"/>
    <w:rsid w:val="005356D7"/>
    <w:rsid w:val="00552B76"/>
    <w:rsid w:val="005567FA"/>
    <w:rsid w:val="00557B4D"/>
    <w:rsid w:val="00557F7C"/>
    <w:rsid w:val="0056055B"/>
    <w:rsid w:val="00561D2F"/>
    <w:rsid w:val="00567F8D"/>
    <w:rsid w:val="00571DA4"/>
    <w:rsid w:val="0057225A"/>
    <w:rsid w:val="00572980"/>
    <w:rsid w:val="00574CFF"/>
    <w:rsid w:val="00580D68"/>
    <w:rsid w:val="0058142C"/>
    <w:rsid w:val="00584A9B"/>
    <w:rsid w:val="00587A18"/>
    <w:rsid w:val="00595777"/>
    <w:rsid w:val="00597881"/>
    <w:rsid w:val="005A073A"/>
    <w:rsid w:val="005B011A"/>
    <w:rsid w:val="005C6FD2"/>
    <w:rsid w:val="005D1744"/>
    <w:rsid w:val="005D32F6"/>
    <w:rsid w:val="005D3562"/>
    <w:rsid w:val="005D60C8"/>
    <w:rsid w:val="005D671C"/>
    <w:rsid w:val="005D6FC5"/>
    <w:rsid w:val="005D7281"/>
    <w:rsid w:val="005E44EB"/>
    <w:rsid w:val="005E74A5"/>
    <w:rsid w:val="005F0A6A"/>
    <w:rsid w:val="005F0C12"/>
    <w:rsid w:val="005F651A"/>
    <w:rsid w:val="005F766E"/>
    <w:rsid w:val="005F7C90"/>
    <w:rsid w:val="006106E5"/>
    <w:rsid w:val="0061430F"/>
    <w:rsid w:val="006154D3"/>
    <w:rsid w:val="00624FF4"/>
    <w:rsid w:val="00632E31"/>
    <w:rsid w:val="00633CED"/>
    <w:rsid w:val="00635D6B"/>
    <w:rsid w:val="00636846"/>
    <w:rsid w:val="0064066E"/>
    <w:rsid w:val="00645F95"/>
    <w:rsid w:val="00646C38"/>
    <w:rsid w:val="006528C5"/>
    <w:rsid w:val="00657773"/>
    <w:rsid w:val="00661BFE"/>
    <w:rsid w:val="00663896"/>
    <w:rsid w:val="00663A13"/>
    <w:rsid w:val="00670196"/>
    <w:rsid w:val="006752A3"/>
    <w:rsid w:val="006773B5"/>
    <w:rsid w:val="0068272A"/>
    <w:rsid w:val="00682741"/>
    <w:rsid w:val="006847C3"/>
    <w:rsid w:val="00693047"/>
    <w:rsid w:val="006A0E65"/>
    <w:rsid w:val="006B577B"/>
    <w:rsid w:val="006B6AF5"/>
    <w:rsid w:val="006C349A"/>
    <w:rsid w:val="006D0422"/>
    <w:rsid w:val="006D1382"/>
    <w:rsid w:val="006D1C14"/>
    <w:rsid w:val="006D232D"/>
    <w:rsid w:val="006E2FD9"/>
    <w:rsid w:val="006E35D9"/>
    <w:rsid w:val="006E577A"/>
    <w:rsid w:val="006F07C3"/>
    <w:rsid w:val="006F20EA"/>
    <w:rsid w:val="006F3CBF"/>
    <w:rsid w:val="006F3E30"/>
    <w:rsid w:val="006F5A25"/>
    <w:rsid w:val="006F6773"/>
    <w:rsid w:val="006F6844"/>
    <w:rsid w:val="00704D08"/>
    <w:rsid w:val="00706A0A"/>
    <w:rsid w:val="00706FF6"/>
    <w:rsid w:val="007137B9"/>
    <w:rsid w:val="00725E09"/>
    <w:rsid w:val="00730C20"/>
    <w:rsid w:val="00734699"/>
    <w:rsid w:val="00734A65"/>
    <w:rsid w:val="00740F39"/>
    <w:rsid w:val="00755DC7"/>
    <w:rsid w:val="0076061D"/>
    <w:rsid w:val="00761467"/>
    <w:rsid w:val="00762BF0"/>
    <w:rsid w:val="0076345B"/>
    <w:rsid w:val="0076507C"/>
    <w:rsid w:val="00774D25"/>
    <w:rsid w:val="007771E6"/>
    <w:rsid w:val="00787A20"/>
    <w:rsid w:val="00791E11"/>
    <w:rsid w:val="00792AB3"/>
    <w:rsid w:val="00794254"/>
    <w:rsid w:val="00795054"/>
    <w:rsid w:val="007A405D"/>
    <w:rsid w:val="007A6F33"/>
    <w:rsid w:val="007B25D0"/>
    <w:rsid w:val="007B60FE"/>
    <w:rsid w:val="007B7AF8"/>
    <w:rsid w:val="007C247C"/>
    <w:rsid w:val="007C360C"/>
    <w:rsid w:val="007C434F"/>
    <w:rsid w:val="007D0520"/>
    <w:rsid w:val="007D2738"/>
    <w:rsid w:val="007E1308"/>
    <w:rsid w:val="007E6EB8"/>
    <w:rsid w:val="007E75DE"/>
    <w:rsid w:val="007F08AB"/>
    <w:rsid w:val="007F1258"/>
    <w:rsid w:val="007F1568"/>
    <w:rsid w:val="00801A79"/>
    <w:rsid w:val="00806CF8"/>
    <w:rsid w:val="008156F0"/>
    <w:rsid w:val="008175F7"/>
    <w:rsid w:val="008218D0"/>
    <w:rsid w:val="008222C2"/>
    <w:rsid w:val="00824A82"/>
    <w:rsid w:val="008445DA"/>
    <w:rsid w:val="00845EAD"/>
    <w:rsid w:val="00847D2D"/>
    <w:rsid w:val="008525C8"/>
    <w:rsid w:val="00855864"/>
    <w:rsid w:val="00860836"/>
    <w:rsid w:val="00865D98"/>
    <w:rsid w:val="00870DD3"/>
    <w:rsid w:val="0087299B"/>
    <w:rsid w:val="00882623"/>
    <w:rsid w:val="0088489A"/>
    <w:rsid w:val="008906D3"/>
    <w:rsid w:val="00891156"/>
    <w:rsid w:val="008A329B"/>
    <w:rsid w:val="008A4F57"/>
    <w:rsid w:val="008A61E2"/>
    <w:rsid w:val="008B2CDA"/>
    <w:rsid w:val="008B3058"/>
    <w:rsid w:val="008B34BB"/>
    <w:rsid w:val="008B7673"/>
    <w:rsid w:val="008B7B9D"/>
    <w:rsid w:val="008C653B"/>
    <w:rsid w:val="008C6BF4"/>
    <w:rsid w:val="008D0DB1"/>
    <w:rsid w:val="008D1218"/>
    <w:rsid w:val="008D3815"/>
    <w:rsid w:val="008D6BF3"/>
    <w:rsid w:val="008E6BC3"/>
    <w:rsid w:val="008F0029"/>
    <w:rsid w:val="008F3617"/>
    <w:rsid w:val="00901867"/>
    <w:rsid w:val="009071C0"/>
    <w:rsid w:val="00912594"/>
    <w:rsid w:val="00916661"/>
    <w:rsid w:val="009172F0"/>
    <w:rsid w:val="009202DF"/>
    <w:rsid w:val="009242D1"/>
    <w:rsid w:val="009306D6"/>
    <w:rsid w:val="00944256"/>
    <w:rsid w:val="00953299"/>
    <w:rsid w:val="009609A9"/>
    <w:rsid w:val="00962823"/>
    <w:rsid w:val="009633FE"/>
    <w:rsid w:val="00965F51"/>
    <w:rsid w:val="0097094A"/>
    <w:rsid w:val="009A124F"/>
    <w:rsid w:val="009A586F"/>
    <w:rsid w:val="009B4589"/>
    <w:rsid w:val="009B6C6A"/>
    <w:rsid w:val="009B7283"/>
    <w:rsid w:val="009C07E4"/>
    <w:rsid w:val="009C156F"/>
    <w:rsid w:val="009C23F4"/>
    <w:rsid w:val="009C390D"/>
    <w:rsid w:val="009C67DD"/>
    <w:rsid w:val="009D01BE"/>
    <w:rsid w:val="009D04B9"/>
    <w:rsid w:val="009D1198"/>
    <w:rsid w:val="009D349B"/>
    <w:rsid w:val="009F0F30"/>
    <w:rsid w:val="009F2521"/>
    <w:rsid w:val="009F78D6"/>
    <w:rsid w:val="00A01543"/>
    <w:rsid w:val="00A01AE3"/>
    <w:rsid w:val="00A037FE"/>
    <w:rsid w:val="00A068DC"/>
    <w:rsid w:val="00A07089"/>
    <w:rsid w:val="00A113B5"/>
    <w:rsid w:val="00A12699"/>
    <w:rsid w:val="00A3765A"/>
    <w:rsid w:val="00A3778D"/>
    <w:rsid w:val="00A4308A"/>
    <w:rsid w:val="00A43989"/>
    <w:rsid w:val="00A43B9C"/>
    <w:rsid w:val="00A531B7"/>
    <w:rsid w:val="00A54A21"/>
    <w:rsid w:val="00A55595"/>
    <w:rsid w:val="00A55A30"/>
    <w:rsid w:val="00A55C35"/>
    <w:rsid w:val="00A56AE5"/>
    <w:rsid w:val="00A61284"/>
    <w:rsid w:val="00A6253E"/>
    <w:rsid w:val="00A64A5D"/>
    <w:rsid w:val="00A65D43"/>
    <w:rsid w:val="00A70A86"/>
    <w:rsid w:val="00A70EEC"/>
    <w:rsid w:val="00A728D4"/>
    <w:rsid w:val="00A75654"/>
    <w:rsid w:val="00A7576A"/>
    <w:rsid w:val="00A80B8C"/>
    <w:rsid w:val="00A82FD3"/>
    <w:rsid w:val="00A8345E"/>
    <w:rsid w:val="00A84F16"/>
    <w:rsid w:val="00A86FCA"/>
    <w:rsid w:val="00A904C3"/>
    <w:rsid w:val="00A91328"/>
    <w:rsid w:val="00AA09CA"/>
    <w:rsid w:val="00AA19B1"/>
    <w:rsid w:val="00AA36C9"/>
    <w:rsid w:val="00AA36E8"/>
    <w:rsid w:val="00AB18C6"/>
    <w:rsid w:val="00AB20C1"/>
    <w:rsid w:val="00AB4E72"/>
    <w:rsid w:val="00AC40F6"/>
    <w:rsid w:val="00AC4125"/>
    <w:rsid w:val="00AC519C"/>
    <w:rsid w:val="00AC5837"/>
    <w:rsid w:val="00AC627B"/>
    <w:rsid w:val="00AC6BE4"/>
    <w:rsid w:val="00AD0127"/>
    <w:rsid w:val="00AD5C18"/>
    <w:rsid w:val="00AE5E31"/>
    <w:rsid w:val="00AF0DDB"/>
    <w:rsid w:val="00AF28AC"/>
    <w:rsid w:val="00AF66A3"/>
    <w:rsid w:val="00B02191"/>
    <w:rsid w:val="00B1356E"/>
    <w:rsid w:val="00B25B25"/>
    <w:rsid w:val="00B368BA"/>
    <w:rsid w:val="00B40FD3"/>
    <w:rsid w:val="00B41CB9"/>
    <w:rsid w:val="00B454DE"/>
    <w:rsid w:val="00B46CCC"/>
    <w:rsid w:val="00B54455"/>
    <w:rsid w:val="00B5767D"/>
    <w:rsid w:val="00B6070D"/>
    <w:rsid w:val="00B61D54"/>
    <w:rsid w:val="00B64A95"/>
    <w:rsid w:val="00B66CF2"/>
    <w:rsid w:val="00B673AC"/>
    <w:rsid w:val="00B71A20"/>
    <w:rsid w:val="00B735A7"/>
    <w:rsid w:val="00B7531E"/>
    <w:rsid w:val="00B95F53"/>
    <w:rsid w:val="00BA2B41"/>
    <w:rsid w:val="00BA73F9"/>
    <w:rsid w:val="00BA77A1"/>
    <w:rsid w:val="00BB08C3"/>
    <w:rsid w:val="00BB20C4"/>
    <w:rsid w:val="00BC1DC7"/>
    <w:rsid w:val="00BC47BB"/>
    <w:rsid w:val="00BD12A9"/>
    <w:rsid w:val="00BD5734"/>
    <w:rsid w:val="00BD6718"/>
    <w:rsid w:val="00BE092C"/>
    <w:rsid w:val="00BE191E"/>
    <w:rsid w:val="00BE50D2"/>
    <w:rsid w:val="00BE7B7B"/>
    <w:rsid w:val="00BF3032"/>
    <w:rsid w:val="00C00AC9"/>
    <w:rsid w:val="00C015E0"/>
    <w:rsid w:val="00C034D2"/>
    <w:rsid w:val="00C1279D"/>
    <w:rsid w:val="00C14089"/>
    <w:rsid w:val="00C140D1"/>
    <w:rsid w:val="00C16D85"/>
    <w:rsid w:val="00C203A7"/>
    <w:rsid w:val="00C2235A"/>
    <w:rsid w:val="00C25007"/>
    <w:rsid w:val="00C25C7F"/>
    <w:rsid w:val="00C26ECC"/>
    <w:rsid w:val="00C33517"/>
    <w:rsid w:val="00C338FA"/>
    <w:rsid w:val="00C404F6"/>
    <w:rsid w:val="00C4298C"/>
    <w:rsid w:val="00C56397"/>
    <w:rsid w:val="00C574A0"/>
    <w:rsid w:val="00C60827"/>
    <w:rsid w:val="00C60D96"/>
    <w:rsid w:val="00C64A9A"/>
    <w:rsid w:val="00C650D2"/>
    <w:rsid w:val="00C65AF4"/>
    <w:rsid w:val="00C71181"/>
    <w:rsid w:val="00C75FD7"/>
    <w:rsid w:val="00C76996"/>
    <w:rsid w:val="00C80C92"/>
    <w:rsid w:val="00C81AF8"/>
    <w:rsid w:val="00C87062"/>
    <w:rsid w:val="00C96CCC"/>
    <w:rsid w:val="00C97295"/>
    <w:rsid w:val="00CA01D6"/>
    <w:rsid w:val="00CA1752"/>
    <w:rsid w:val="00CA557C"/>
    <w:rsid w:val="00CB1791"/>
    <w:rsid w:val="00CB3D19"/>
    <w:rsid w:val="00CC6211"/>
    <w:rsid w:val="00CC709D"/>
    <w:rsid w:val="00CD21DE"/>
    <w:rsid w:val="00CD2512"/>
    <w:rsid w:val="00CE1572"/>
    <w:rsid w:val="00CE2F5C"/>
    <w:rsid w:val="00CE5BE8"/>
    <w:rsid w:val="00CE72AE"/>
    <w:rsid w:val="00CE798B"/>
    <w:rsid w:val="00CF22AE"/>
    <w:rsid w:val="00CF3913"/>
    <w:rsid w:val="00CF453B"/>
    <w:rsid w:val="00CF73BE"/>
    <w:rsid w:val="00D076D6"/>
    <w:rsid w:val="00D10026"/>
    <w:rsid w:val="00D146BA"/>
    <w:rsid w:val="00D16DDD"/>
    <w:rsid w:val="00D17D59"/>
    <w:rsid w:val="00D20508"/>
    <w:rsid w:val="00D211FB"/>
    <w:rsid w:val="00D21540"/>
    <w:rsid w:val="00D22CA2"/>
    <w:rsid w:val="00D24418"/>
    <w:rsid w:val="00D249CD"/>
    <w:rsid w:val="00D27CA4"/>
    <w:rsid w:val="00D332EE"/>
    <w:rsid w:val="00D35C5F"/>
    <w:rsid w:val="00D41F14"/>
    <w:rsid w:val="00D46EA1"/>
    <w:rsid w:val="00D50CA3"/>
    <w:rsid w:val="00D61A90"/>
    <w:rsid w:val="00D62E75"/>
    <w:rsid w:val="00D707C4"/>
    <w:rsid w:val="00D7120A"/>
    <w:rsid w:val="00D72024"/>
    <w:rsid w:val="00D7355D"/>
    <w:rsid w:val="00D760FF"/>
    <w:rsid w:val="00D768DC"/>
    <w:rsid w:val="00D80E27"/>
    <w:rsid w:val="00D81D47"/>
    <w:rsid w:val="00D87688"/>
    <w:rsid w:val="00D91613"/>
    <w:rsid w:val="00D932A5"/>
    <w:rsid w:val="00D94122"/>
    <w:rsid w:val="00DA172F"/>
    <w:rsid w:val="00DA2AC8"/>
    <w:rsid w:val="00DA3654"/>
    <w:rsid w:val="00DA5851"/>
    <w:rsid w:val="00DA657F"/>
    <w:rsid w:val="00DA6739"/>
    <w:rsid w:val="00DB0669"/>
    <w:rsid w:val="00DC5D25"/>
    <w:rsid w:val="00DD0085"/>
    <w:rsid w:val="00DD4785"/>
    <w:rsid w:val="00DE0050"/>
    <w:rsid w:val="00DE186A"/>
    <w:rsid w:val="00DE34F5"/>
    <w:rsid w:val="00DE3C1C"/>
    <w:rsid w:val="00DF432E"/>
    <w:rsid w:val="00E05034"/>
    <w:rsid w:val="00E056C2"/>
    <w:rsid w:val="00E07992"/>
    <w:rsid w:val="00E135BD"/>
    <w:rsid w:val="00E13BA0"/>
    <w:rsid w:val="00E13E6D"/>
    <w:rsid w:val="00E13EB8"/>
    <w:rsid w:val="00E14BF0"/>
    <w:rsid w:val="00E16BF0"/>
    <w:rsid w:val="00E17516"/>
    <w:rsid w:val="00E20B60"/>
    <w:rsid w:val="00E2377C"/>
    <w:rsid w:val="00E26F83"/>
    <w:rsid w:val="00E311BA"/>
    <w:rsid w:val="00E33153"/>
    <w:rsid w:val="00E40F13"/>
    <w:rsid w:val="00E40FC9"/>
    <w:rsid w:val="00E4541C"/>
    <w:rsid w:val="00E51BA1"/>
    <w:rsid w:val="00E64685"/>
    <w:rsid w:val="00E817CF"/>
    <w:rsid w:val="00E822D4"/>
    <w:rsid w:val="00E87CE8"/>
    <w:rsid w:val="00E904F2"/>
    <w:rsid w:val="00E94C18"/>
    <w:rsid w:val="00E95409"/>
    <w:rsid w:val="00EB0E51"/>
    <w:rsid w:val="00EC3C29"/>
    <w:rsid w:val="00EC5B6A"/>
    <w:rsid w:val="00ED0621"/>
    <w:rsid w:val="00ED0A15"/>
    <w:rsid w:val="00ED4847"/>
    <w:rsid w:val="00EF0832"/>
    <w:rsid w:val="00EF34F8"/>
    <w:rsid w:val="00F01449"/>
    <w:rsid w:val="00F047D0"/>
    <w:rsid w:val="00F06583"/>
    <w:rsid w:val="00F13AF2"/>
    <w:rsid w:val="00F13E4D"/>
    <w:rsid w:val="00F14B4D"/>
    <w:rsid w:val="00F16015"/>
    <w:rsid w:val="00F16D57"/>
    <w:rsid w:val="00F2127B"/>
    <w:rsid w:val="00F22778"/>
    <w:rsid w:val="00F22E3C"/>
    <w:rsid w:val="00F27819"/>
    <w:rsid w:val="00F356EC"/>
    <w:rsid w:val="00F431AD"/>
    <w:rsid w:val="00F439E4"/>
    <w:rsid w:val="00F46AEB"/>
    <w:rsid w:val="00F612A4"/>
    <w:rsid w:val="00F63565"/>
    <w:rsid w:val="00F64404"/>
    <w:rsid w:val="00F70A5E"/>
    <w:rsid w:val="00F74DC8"/>
    <w:rsid w:val="00F765DB"/>
    <w:rsid w:val="00F77D36"/>
    <w:rsid w:val="00F8723C"/>
    <w:rsid w:val="00F90AD8"/>
    <w:rsid w:val="00F90F19"/>
    <w:rsid w:val="00F91AD8"/>
    <w:rsid w:val="00F9435F"/>
    <w:rsid w:val="00F9508E"/>
    <w:rsid w:val="00F97AFE"/>
    <w:rsid w:val="00FA1009"/>
    <w:rsid w:val="00FA361C"/>
    <w:rsid w:val="00FA7B40"/>
    <w:rsid w:val="00FB1DF6"/>
    <w:rsid w:val="00FB284D"/>
    <w:rsid w:val="00FB2CE5"/>
    <w:rsid w:val="00FB4A4D"/>
    <w:rsid w:val="00FB70F5"/>
    <w:rsid w:val="00FC1180"/>
    <w:rsid w:val="00FC2B0A"/>
    <w:rsid w:val="00FC43AF"/>
    <w:rsid w:val="00FD144A"/>
    <w:rsid w:val="00FD1BED"/>
    <w:rsid w:val="00FD7A7D"/>
    <w:rsid w:val="00FE40FD"/>
    <w:rsid w:val="00FE6AA0"/>
    <w:rsid w:val="00FF1ADD"/>
    <w:rsid w:val="00FF556C"/>
    <w:rsid w:val="00FF5EEA"/>
    <w:rsid w:val="015E1842"/>
    <w:rsid w:val="015E7DB2"/>
    <w:rsid w:val="01870A0F"/>
    <w:rsid w:val="01A11CEA"/>
    <w:rsid w:val="01C11962"/>
    <w:rsid w:val="01D46B46"/>
    <w:rsid w:val="01DB2C70"/>
    <w:rsid w:val="01E636D9"/>
    <w:rsid w:val="02022B34"/>
    <w:rsid w:val="02022F82"/>
    <w:rsid w:val="020F25A6"/>
    <w:rsid w:val="02210625"/>
    <w:rsid w:val="023B40BD"/>
    <w:rsid w:val="024012E9"/>
    <w:rsid w:val="024F1670"/>
    <w:rsid w:val="025B633C"/>
    <w:rsid w:val="026119BA"/>
    <w:rsid w:val="026538CB"/>
    <w:rsid w:val="02810AAB"/>
    <w:rsid w:val="02AB0514"/>
    <w:rsid w:val="02CA4F4B"/>
    <w:rsid w:val="02E32ADE"/>
    <w:rsid w:val="02E46136"/>
    <w:rsid w:val="02E66AE4"/>
    <w:rsid w:val="034F46D6"/>
    <w:rsid w:val="03680452"/>
    <w:rsid w:val="037B3487"/>
    <w:rsid w:val="03DE4BB1"/>
    <w:rsid w:val="03E3442C"/>
    <w:rsid w:val="03F418A9"/>
    <w:rsid w:val="03F87293"/>
    <w:rsid w:val="04003F59"/>
    <w:rsid w:val="041425F5"/>
    <w:rsid w:val="0416007A"/>
    <w:rsid w:val="0440102A"/>
    <w:rsid w:val="045B70AB"/>
    <w:rsid w:val="04610A9A"/>
    <w:rsid w:val="04A54EA9"/>
    <w:rsid w:val="04C55C3E"/>
    <w:rsid w:val="04E364BC"/>
    <w:rsid w:val="04E66FF7"/>
    <w:rsid w:val="04E908E7"/>
    <w:rsid w:val="051B5F13"/>
    <w:rsid w:val="052551A1"/>
    <w:rsid w:val="05324D08"/>
    <w:rsid w:val="05341DD6"/>
    <w:rsid w:val="05417EC4"/>
    <w:rsid w:val="054A5E82"/>
    <w:rsid w:val="056E751A"/>
    <w:rsid w:val="05914119"/>
    <w:rsid w:val="05984AD4"/>
    <w:rsid w:val="05A47154"/>
    <w:rsid w:val="05B60A3D"/>
    <w:rsid w:val="05BC6E28"/>
    <w:rsid w:val="05C32335"/>
    <w:rsid w:val="05CD222A"/>
    <w:rsid w:val="05E77556"/>
    <w:rsid w:val="05F42B46"/>
    <w:rsid w:val="05F61781"/>
    <w:rsid w:val="05F87736"/>
    <w:rsid w:val="05FE5F4F"/>
    <w:rsid w:val="062566BD"/>
    <w:rsid w:val="06460CCC"/>
    <w:rsid w:val="064B60FE"/>
    <w:rsid w:val="06553EEA"/>
    <w:rsid w:val="06642B5A"/>
    <w:rsid w:val="066944F6"/>
    <w:rsid w:val="067F4CE0"/>
    <w:rsid w:val="06CB0B96"/>
    <w:rsid w:val="07143C43"/>
    <w:rsid w:val="07276002"/>
    <w:rsid w:val="07290735"/>
    <w:rsid w:val="073144B9"/>
    <w:rsid w:val="075D3DD1"/>
    <w:rsid w:val="07763F1B"/>
    <w:rsid w:val="07940F87"/>
    <w:rsid w:val="079A0CB9"/>
    <w:rsid w:val="079D5A24"/>
    <w:rsid w:val="07FA3F80"/>
    <w:rsid w:val="07FF3ED0"/>
    <w:rsid w:val="080609A6"/>
    <w:rsid w:val="082E67B9"/>
    <w:rsid w:val="08356AA6"/>
    <w:rsid w:val="08404F36"/>
    <w:rsid w:val="08413D1C"/>
    <w:rsid w:val="08526677"/>
    <w:rsid w:val="085648E0"/>
    <w:rsid w:val="085C0C69"/>
    <w:rsid w:val="08737C36"/>
    <w:rsid w:val="08AF1506"/>
    <w:rsid w:val="08B90EB7"/>
    <w:rsid w:val="08C4413A"/>
    <w:rsid w:val="08D56D0D"/>
    <w:rsid w:val="08DC49A3"/>
    <w:rsid w:val="08F52185"/>
    <w:rsid w:val="08FF4F06"/>
    <w:rsid w:val="09034FF5"/>
    <w:rsid w:val="093E1C85"/>
    <w:rsid w:val="09903F4C"/>
    <w:rsid w:val="09A2422F"/>
    <w:rsid w:val="09BD7FEA"/>
    <w:rsid w:val="09CB7265"/>
    <w:rsid w:val="09E16B87"/>
    <w:rsid w:val="09ED5561"/>
    <w:rsid w:val="09EE6CA0"/>
    <w:rsid w:val="09F159F8"/>
    <w:rsid w:val="0A0B50CF"/>
    <w:rsid w:val="0A1F7DCE"/>
    <w:rsid w:val="0A432B75"/>
    <w:rsid w:val="0A4D20E3"/>
    <w:rsid w:val="0A58431A"/>
    <w:rsid w:val="0AE06FAB"/>
    <w:rsid w:val="0AFA1AF2"/>
    <w:rsid w:val="0B50723E"/>
    <w:rsid w:val="0B681912"/>
    <w:rsid w:val="0B6A2CFB"/>
    <w:rsid w:val="0B7B408A"/>
    <w:rsid w:val="0BCD1AEB"/>
    <w:rsid w:val="0BD311E1"/>
    <w:rsid w:val="0BEF00E2"/>
    <w:rsid w:val="0BF54A20"/>
    <w:rsid w:val="0C1564DE"/>
    <w:rsid w:val="0C1D34BB"/>
    <w:rsid w:val="0C404514"/>
    <w:rsid w:val="0C4F1F1C"/>
    <w:rsid w:val="0C542D5E"/>
    <w:rsid w:val="0C7E61C3"/>
    <w:rsid w:val="0C850A69"/>
    <w:rsid w:val="0C8F1FE8"/>
    <w:rsid w:val="0C9E1CF3"/>
    <w:rsid w:val="0CB0685E"/>
    <w:rsid w:val="0CBB1CC9"/>
    <w:rsid w:val="0CC63A71"/>
    <w:rsid w:val="0CCC069A"/>
    <w:rsid w:val="0CD27D85"/>
    <w:rsid w:val="0D085243"/>
    <w:rsid w:val="0D176645"/>
    <w:rsid w:val="0D1B26B0"/>
    <w:rsid w:val="0D202E2F"/>
    <w:rsid w:val="0D492E9A"/>
    <w:rsid w:val="0D7013AB"/>
    <w:rsid w:val="0D704B60"/>
    <w:rsid w:val="0DA445DC"/>
    <w:rsid w:val="0DD84122"/>
    <w:rsid w:val="0DDD0675"/>
    <w:rsid w:val="0DED02B5"/>
    <w:rsid w:val="0E1D4081"/>
    <w:rsid w:val="0E515EEB"/>
    <w:rsid w:val="0E6A31D0"/>
    <w:rsid w:val="0E813098"/>
    <w:rsid w:val="0E8970F5"/>
    <w:rsid w:val="0E8B2BF8"/>
    <w:rsid w:val="0E9676D2"/>
    <w:rsid w:val="0EAB60B0"/>
    <w:rsid w:val="0EB66BE3"/>
    <w:rsid w:val="0EBE5060"/>
    <w:rsid w:val="0EE13791"/>
    <w:rsid w:val="0EEB2DB5"/>
    <w:rsid w:val="0EED14A4"/>
    <w:rsid w:val="0F614886"/>
    <w:rsid w:val="0F6621B7"/>
    <w:rsid w:val="0F74668D"/>
    <w:rsid w:val="0F8E3E7A"/>
    <w:rsid w:val="0F90325D"/>
    <w:rsid w:val="0F9F0794"/>
    <w:rsid w:val="0FA51054"/>
    <w:rsid w:val="0FC23D27"/>
    <w:rsid w:val="0FC348F6"/>
    <w:rsid w:val="0FF2558C"/>
    <w:rsid w:val="102313C5"/>
    <w:rsid w:val="10246EEB"/>
    <w:rsid w:val="102B64CB"/>
    <w:rsid w:val="105E41AB"/>
    <w:rsid w:val="10662099"/>
    <w:rsid w:val="10774605"/>
    <w:rsid w:val="108F249C"/>
    <w:rsid w:val="109035CD"/>
    <w:rsid w:val="10BD0DF0"/>
    <w:rsid w:val="10D62D5E"/>
    <w:rsid w:val="10D73A8E"/>
    <w:rsid w:val="10F35D07"/>
    <w:rsid w:val="1103254A"/>
    <w:rsid w:val="11141A07"/>
    <w:rsid w:val="111C698E"/>
    <w:rsid w:val="114C1AFE"/>
    <w:rsid w:val="11677C1F"/>
    <w:rsid w:val="119D7F30"/>
    <w:rsid w:val="11AC069A"/>
    <w:rsid w:val="11AD1CCD"/>
    <w:rsid w:val="11AE76DC"/>
    <w:rsid w:val="11B32073"/>
    <w:rsid w:val="11C70B17"/>
    <w:rsid w:val="11FC7D98"/>
    <w:rsid w:val="1216178E"/>
    <w:rsid w:val="12213FA8"/>
    <w:rsid w:val="12302D7E"/>
    <w:rsid w:val="124C1093"/>
    <w:rsid w:val="12AA1929"/>
    <w:rsid w:val="12C00ACF"/>
    <w:rsid w:val="12C961A2"/>
    <w:rsid w:val="12D506CD"/>
    <w:rsid w:val="12ED1D4C"/>
    <w:rsid w:val="1304706F"/>
    <w:rsid w:val="13355622"/>
    <w:rsid w:val="13390624"/>
    <w:rsid w:val="13450E22"/>
    <w:rsid w:val="13453400"/>
    <w:rsid w:val="134C208B"/>
    <w:rsid w:val="135D2B87"/>
    <w:rsid w:val="136E2BA5"/>
    <w:rsid w:val="138B4C6D"/>
    <w:rsid w:val="139B4BA1"/>
    <w:rsid w:val="13B60C45"/>
    <w:rsid w:val="13EA1851"/>
    <w:rsid w:val="13F872D9"/>
    <w:rsid w:val="142E7AD2"/>
    <w:rsid w:val="143102F9"/>
    <w:rsid w:val="14321BD6"/>
    <w:rsid w:val="14466A18"/>
    <w:rsid w:val="145147F5"/>
    <w:rsid w:val="14707058"/>
    <w:rsid w:val="148D59EC"/>
    <w:rsid w:val="14E153AA"/>
    <w:rsid w:val="14ED1C03"/>
    <w:rsid w:val="15370CD2"/>
    <w:rsid w:val="153C0730"/>
    <w:rsid w:val="158E10A8"/>
    <w:rsid w:val="15A37FAA"/>
    <w:rsid w:val="15B36D47"/>
    <w:rsid w:val="15CC4839"/>
    <w:rsid w:val="15CD56DE"/>
    <w:rsid w:val="15D90030"/>
    <w:rsid w:val="15EF09E0"/>
    <w:rsid w:val="16142F4A"/>
    <w:rsid w:val="163D3CF0"/>
    <w:rsid w:val="16A65768"/>
    <w:rsid w:val="16C136E5"/>
    <w:rsid w:val="16CE4D95"/>
    <w:rsid w:val="16E377B4"/>
    <w:rsid w:val="17193671"/>
    <w:rsid w:val="171E515B"/>
    <w:rsid w:val="171F52A7"/>
    <w:rsid w:val="172B1804"/>
    <w:rsid w:val="17343ED0"/>
    <w:rsid w:val="173B68A8"/>
    <w:rsid w:val="17514A69"/>
    <w:rsid w:val="176D5D9E"/>
    <w:rsid w:val="177E0EEC"/>
    <w:rsid w:val="17981E3E"/>
    <w:rsid w:val="17A5473D"/>
    <w:rsid w:val="17B80644"/>
    <w:rsid w:val="17CC2250"/>
    <w:rsid w:val="17D6045E"/>
    <w:rsid w:val="17DD0C6C"/>
    <w:rsid w:val="17EB278F"/>
    <w:rsid w:val="18057602"/>
    <w:rsid w:val="18191C1A"/>
    <w:rsid w:val="181B4E3F"/>
    <w:rsid w:val="18624A40"/>
    <w:rsid w:val="18674BEA"/>
    <w:rsid w:val="188100EE"/>
    <w:rsid w:val="18964996"/>
    <w:rsid w:val="18972950"/>
    <w:rsid w:val="18B23B4B"/>
    <w:rsid w:val="18DD18FF"/>
    <w:rsid w:val="18EF59D0"/>
    <w:rsid w:val="190568EC"/>
    <w:rsid w:val="191E3E73"/>
    <w:rsid w:val="19294E90"/>
    <w:rsid w:val="19686D2D"/>
    <w:rsid w:val="197679BA"/>
    <w:rsid w:val="19A875EF"/>
    <w:rsid w:val="19B46D8E"/>
    <w:rsid w:val="19C902E4"/>
    <w:rsid w:val="19EC10C7"/>
    <w:rsid w:val="1A484DC1"/>
    <w:rsid w:val="1A48685B"/>
    <w:rsid w:val="1A534765"/>
    <w:rsid w:val="1A5A0CC8"/>
    <w:rsid w:val="1A926303"/>
    <w:rsid w:val="1ABB7036"/>
    <w:rsid w:val="1AC25ACF"/>
    <w:rsid w:val="1AD5605C"/>
    <w:rsid w:val="1AEF55B2"/>
    <w:rsid w:val="1AFE0EF0"/>
    <w:rsid w:val="1B0D64AC"/>
    <w:rsid w:val="1B734AB0"/>
    <w:rsid w:val="1BDC68CC"/>
    <w:rsid w:val="1BED1B2F"/>
    <w:rsid w:val="1C233810"/>
    <w:rsid w:val="1C7502C3"/>
    <w:rsid w:val="1C7D5446"/>
    <w:rsid w:val="1C993C27"/>
    <w:rsid w:val="1C9E26B5"/>
    <w:rsid w:val="1CA1346D"/>
    <w:rsid w:val="1CB77BBE"/>
    <w:rsid w:val="1CDD36A9"/>
    <w:rsid w:val="1CE82642"/>
    <w:rsid w:val="1CEE0E61"/>
    <w:rsid w:val="1D0F3919"/>
    <w:rsid w:val="1D5A7301"/>
    <w:rsid w:val="1D6877CD"/>
    <w:rsid w:val="1D961C5A"/>
    <w:rsid w:val="1D9657AC"/>
    <w:rsid w:val="1D9E2837"/>
    <w:rsid w:val="1DAB5082"/>
    <w:rsid w:val="1DC22365"/>
    <w:rsid w:val="1DD43CFE"/>
    <w:rsid w:val="1DE5209D"/>
    <w:rsid w:val="1DF6011C"/>
    <w:rsid w:val="1DFC2899"/>
    <w:rsid w:val="1E1D29CD"/>
    <w:rsid w:val="1E25028E"/>
    <w:rsid w:val="1E262FE9"/>
    <w:rsid w:val="1E294B47"/>
    <w:rsid w:val="1E4543D6"/>
    <w:rsid w:val="1E4E240A"/>
    <w:rsid w:val="1E566F9A"/>
    <w:rsid w:val="1E7772C1"/>
    <w:rsid w:val="1EA00439"/>
    <w:rsid w:val="1EA3032D"/>
    <w:rsid w:val="1F2930F4"/>
    <w:rsid w:val="1F531F3B"/>
    <w:rsid w:val="1F565DE9"/>
    <w:rsid w:val="1F843502"/>
    <w:rsid w:val="1F890B18"/>
    <w:rsid w:val="1F952CCB"/>
    <w:rsid w:val="1FA00474"/>
    <w:rsid w:val="1FA36983"/>
    <w:rsid w:val="1FB25215"/>
    <w:rsid w:val="1FBF1223"/>
    <w:rsid w:val="1FD830C9"/>
    <w:rsid w:val="20172493"/>
    <w:rsid w:val="20252DCC"/>
    <w:rsid w:val="202A15F0"/>
    <w:rsid w:val="202D5C60"/>
    <w:rsid w:val="203647FC"/>
    <w:rsid w:val="203D77C7"/>
    <w:rsid w:val="20472A65"/>
    <w:rsid w:val="204C6D48"/>
    <w:rsid w:val="204F6ABB"/>
    <w:rsid w:val="207B5116"/>
    <w:rsid w:val="2099546B"/>
    <w:rsid w:val="20A270A0"/>
    <w:rsid w:val="20B37BA5"/>
    <w:rsid w:val="20E23B37"/>
    <w:rsid w:val="211B5B28"/>
    <w:rsid w:val="21412088"/>
    <w:rsid w:val="21496422"/>
    <w:rsid w:val="21597FFB"/>
    <w:rsid w:val="21733771"/>
    <w:rsid w:val="21886320"/>
    <w:rsid w:val="218912A4"/>
    <w:rsid w:val="219904A4"/>
    <w:rsid w:val="21C1799C"/>
    <w:rsid w:val="21C4478C"/>
    <w:rsid w:val="21D46375"/>
    <w:rsid w:val="21FE57EE"/>
    <w:rsid w:val="220212B1"/>
    <w:rsid w:val="22272EC4"/>
    <w:rsid w:val="224A5F49"/>
    <w:rsid w:val="22515B77"/>
    <w:rsid w:val="225B6576"/>
    <w:rsid w:val="22865CFE"/>
    <w:rsid w:val="22876929"/>
    <w:rsid w:val="22925733"/>
    <w:rsid w:val="22995516"/>
    <w:rsid w:val="229972C4"/>
    <w:rsid w:val="22A85759"/>
    <w:rsid w:val="22B2303C"/>
    <w:rsid w:val="22EC28DD"/>
    <w:rsid w:val="23353491"/>
    <w:rsid w:val="233605FD"/>
    <w:rsid w:val="23360967"/>
    <w:rsid w:val="233722A5"/>
    <w:rsid w:val="234D0528"/>
    <w:rsid w:val="235D383A"/>
    <w:rsid w:val="23706DFA"/>
    <w:rsid w:val="23843AD1"/>
    <w:rsid w:val="23C93BD9"/>
    <w:rsid w:val="23D8774B"/>
    <w:rsid w:val="240D7F6A"/>
    <w:rsid w:val="2417729A"/>
    <w:rsid w:val="244D7656"/>
    <w:rsid w:val="2495308C"/>
    <w:rsid w:val="24A335C0"/>
    <w:rsid w:val="24AA4B04"/>
    <w:rsid w:val="24AC29FD"/>
    <w:rsid w:val="24BE0DAC"/>
    <w:rsid w:val="24C33B59"/>
    <w:rsid w:val="24C6640C"/>
    <w:rsid w:val="24CF754D"/>
    <w:rsid w:val="24DD793C"/>
    <w:rsid w:val="24FE3ADA"/>
    <w:rsid w:val="25266F9B"/>
    <w:rsid w:val="252E2C1E"/>
    <w:rsid w:val="253B7490"/>
    <w:rsid w:val="254B52CA"/>
    <w:rsid w:val="2592127B"/>
    <w:rsid w:val="25A736E1"/>
    <w:rsid w:val="25C935E9"/>
    <w:rsid w:val="25FD71A9"/>
    <w:rsid w:val="26057114"/>
    <w:rsid w:val="262A623E"/>
    <w:rsid w:val="262D7099"/>
    <w:rsid w:val="263F58E3"/>
    <w:rsid w:val="26437C73"/>
    <w:rsid w:val="264659B5"/>
    <w:rsid w:val="266F2CA2"/>
    <w:rsid w:val="267343B9"/>
    <w:rsid w:val="269926B1"/>
    <w:rsid w:val="26CD39E1"/>
    <w:rsid w:val="26F50926"/>
    <w:rsid w:val="26FE726E"/>
    <w:rsid w:val="27281622"/>
    <w:rsid w:val="27341CE3"/>
    <w:rsid w:val="27406E3E"/>
    <w:rsid w:val="2775378A"/>
    <w:rsid w:val="27DA4607"/>
    <w:rsid w:val="27DD10AE"/>
    <w:rsid w:val="27E23074"/>
    <w:rsid w:val="280D1088"/>
    <w:rsid w:val="28176C57"/>
    <w:rsid w:val="28281944"/>
    <w:rsid w:val="2829083D"/>
    <w:rsid w:val="28506961"/>
    <w:rsid w:val="28723E6F"/>
    <w:rsid w:val="287F4F6B"/>
    <w:rsid w:val="28893081"/>
    <w:rsid w:val="289450FE"/>
    <w:rsid w:val="28A00237"/>
    <w:rsid w:val="28CB2D7E"/>
    <w:rsid w:val="29005CF7"/>
    <w:rsid w:val="2916341D"/>
    <w:rsid w:val="29256442"/>
    <w:rsid w:val="29346D40"/>
    <w:rsid w:val="297206A8"/>
    <w:rsid w:val="29E369B7"/>
    <w:rsid w:val="2AAF1C6B"/>
    <w:rsid w:val="2ABD0847"/>
    <w:rsid w:val="2AE25777"/>
    <w:rsid w:val="2B295E2D"/>
    <w:rsid w:val="2B4075AE"/>
    <w:rsid w:val="2B463A8B"/>
    <w:rsid w:val="2B9504AC"/>
    <w:rsid w:val="2BBC2066"/>
    <w:rsid w:val="2BD30DD8"/>
    <w:rsid w:val="2BEE432F"/>
    <w:rsid w:val="2BFD08C4"/>
    <w:rsid w:val="2C00277A"/>
    <w:rsid w:val="2C0C6D59"/>
    <w:rsid w:val="2C2F3D5D"/>
    <w:rsid w:val="2C436559"/>
    <w:rsid w:val="2C7329A3"/>
    <w:rsid w:val="2C800308"/>
    <w:rsid w:val="2C8A40E1"/>
    <w:rsid w:val="2C95571E"/>
    <w:rsid w:val="2C9D1C21"/>
    <w:rsid w:val="2CB86D8A"/>
    <w:rsid w:val="2CE43832"/>
    <w:rsid w:val="2CF36069"/>
    <w:rsid w:val="2D1D4C9B"/>
    <w:rsid w:val="2D530DFA"/>
    <w:rsid w:val="2D650D3D"/>
    <w:rsid w:val="2D787BC8"/>
    <w:rsid w:val="2D7D3948"/>
    <w:rsid w:val="2D816A6E"/>
    <w:rsid w:val="2DAF3E40"/>
    <w:rsid w:val="2DB2389D"/>
    <w:rsid w:val="2DB63125"/>
    <w:rsid w:val="2DF46631"/>
    <w:rsid w:val="2E004AA1"/>
    <w:rsid w:val="2E177F13"/>
    <w:rsid w:val="2E25296D"/>
    <w:rsid w:val="2E2A1718"/>
    <w:rsid w:val="2E2C77F6"/>
    <w:rsid w:val="2E46657D"/>
    <w:rsid w:val="2E7858E0"/>
    <w:rsid w:val="2E98150E"/>
    <w:rsid w:val="2EA438A0"/>
    <w:rsid w:val="2EAE1316"/>
    <w:rsid w:val="2EB60ED6"/>
    <w:rsid w:val="2EC9229A"/>
    <w:rsid w:val="2ECD0DFE"/>
    <w:rsid w:val="2F1F2A93"/>
    <w:rsid w:val="2F287757"/>
    <w:rsid w:val="2F2F4336"/>
    <w:rsid w:val="2F530C65"/>
    <w:rsid w:val="2F9A061F"/>
    <w:rsid w:val="2FAA6903"/>
    <w:rsid w:val="2FB219C5"/>
    <w:rsid w:val="2FDD6290"/>
    <w:rsid w:val="30523374"/>
    <w:rsid w:val="306420DD"/>
    <w:rsid w:val="30775A6B"/>
    <w:rsid w:val="309C7C60"/>
    <w:rsid w:val="30AD6DB7"/>
    <w:rsid w:val="30B02DD5"/>
    <w:rsid w:val="30D65A70"/>
    <w:rsid w:val="30FF0C3A"/>
    <w:rsid w:val="3105134A"/>
    <w:rsid w:val="310D3A9D"/>
    <w:rsid w:val="31347C3B"/>
    <w:rsid w:val="313D1C13"/>
    <w:rsid w:val="316225CA"/>
    <w:rsid w:val="316E3739"/>
    <w:rsid w:val="31874529"/>
    <w:rsid w:val="3189770E"/>
    <w:rsid w:val="318F2878"/>
    <w:rsid w:val="319D65BB"/>
    <w:rsid w:val="31A83774"/>
    <w:rsid w:val="31AD491F"/>
    <w:rsid w:val="31B043D3"/>
    <w:rsid w:val="31B13CFD"/>
    <w:rsid w:val="31C83163"/>
    <w:rsid w:val="31D867AA"/>
    <w:rsid w:val="31EC54B1"/>
    <w:rsid w:val="32117A21"/>
    <w:rsid w:val="32124864"/>
    <w:rsid w:val="321273A9"/>
    <w:rsid w:val="32400B72"/>
    <w:rsid w:val="327C4C46"/>
    <w:rsid w:val="32957FE1"/>
    <w:rsid w:val="32973B92"/>
    <w:rsid w:val="32A37E25"/>
    <w:rsid w:val="32AC2C02"/>
    <w:rsid w:val="32B31C95"/>
    <w:rsid w:val="330A3010"/>
    <w:rsid w:val="331A03B1"/>
    <w:rsid w:val="331D151F"/>
    <w:rsid w:val="33552BFC"/>
    <w:rsid w:val="33703C34"/>
    <w:rsid w:val="337A33E4"/>
    <w:rsid w:val="3383320D"/>
    <w:rsid w:val="338E62A6"/>
    <w:rsid w:val="33CA3782"/>
    <w:rsid w:val="33CF0220"/>
    <w:rsid w:val="33D53A3F"/>
    <w:rsid w:val="340A0123"/>
    <w:rsid w:val="344B609B"/>
    <w:rsid w:val="346229DC"/>
    <w:rsid w:val="34646F1E"/>
    <w:rsid w:val="3474040C"/>
    <w:rsid w:val="347E3EDB"/>
    <w:rsid w:val="348F31C7"/>
    <w:rsid w:val="34A75DF6"/>
    <w:rsid w:val="34C855B6"/>
    <w:rsid w:val="34CC3339"/>
    <w:rsid w:val="35251617"/>
    <w:rsid w:val="35263E89"/>
    <w:rsid w:val="352B6AFF"/>
    <w:rsid w:val="35367BDA"/>
    <w:rsid w:val="356137EB"/>
    <w:rsid w:val="3566288D"/>
    <w:rsid w:val="356F078E"/>
    <w:rsid w:val="35870BE8"/>
    <w:rsid w:val="35A2506B"/>
    <w:rsid w:val="35AA236B"/>
    <w:rsid w:val="35C62CD5"/>
    <w:rsid w:val="35D71179"/>
    <w:rsid w:val="35E904F4"/>
    <w:rsid w:val="35FE6809"/>
    <w:rsid w:val="360A4CDA"/>
    <w:rsid w:val="36400037"/>
    <w:rsid w:val="36576633"/>
    <w:rsid w:val="365C7002"/>
    <w:rsid w:val="36632BB1"/>
    <w:rsid w:val="36656A89"/>
    <w:rsid w:val="36671141"/>
    <w:rsid w:val="369F2641"/>
    <w:rsid w:val="369F695F"/>
    <w:rsid w:val="36A75FFC"/>
    <w:rsid w:val="36C3270A"/>
    <w:rsid w:val="36E20BD5"/>
    <w:rsid w:val="36E57DBE"/>
    <w:rsid w:val="36F01751"/>
    <w:rsid w:val="370A236E"/>
    <w:rsid w:val="371B0FE8"/>
    <w:rsid w:val="371B42F4"/>
    <w:rsid w:val="37307701"/>
    <w:rsid w:val="3736112E"/>
    <w:rsid w:val="374758DE"/>
    <w:rsid w:val="374B6FC5"/>
    <w:rsid w:val="378F1F7C"/>
    <w:rsid w:val="37A4078E"/>
    <w:rsid w:val="37B55656"/>
    <w:rsid w:val="37FC5B7A"/>
    <w:rsid w:val="38127063"/>
    <w:rsid w:val="382102BB"/>
    <w:rsid w:val="38245855"/>
    <w:rsid w:val="382810FF"/>
    <w:rsid w:val="383E746D"/>
    <w:rsid w:val="38594079"/>
    <w:rsid w:val="38597FB3"/>
    <w:rsid w:val="3889410E"/>
    <w:rsid w:val="388A7983"/>
    <w:rsid w:val="388B1886"/>
    <w:rsid w:val="38927FA1"/>
    <w:rsid w:val="38BE5906"/>
    <w:rsid w:val="38E002CB"/>
    <w:rsid w:val="38F35529"/>
    <w:rsid w:val="390445F5"/>
    <w:rsid w:val="390600CC"/>
    <w:rsid w:val="39276F80"/>
    <w:rsid w:val="393C1784"/>
    <w:rsid w:val="394315AD"/>
    <w:rsid w:val="398268AC"/>
    <w:rsid w:val="39B5458C"/>
    <w:rsid w:val="39DE024E"/>
    <w:rsid w:val="3A8215CB"/>
    <w:rsid w:val="3A8D28D2"/>
    <w:rsid w:val="3ABB2C9B"/>
    <w:rsid w:val="3AD52E3A"/>
    <w:rsid w:val="3AF62A34"/>
    <w:rsid w:val="3AFE1FE4"/>
    <w:rsid w:val="3B0E664A"/>
    <w:rsid w:val="3B59284D"/>
    <w:rsid w:val="3B597DBA"/>
    <w:rsid w:val="3B7B04B1"/>
    <w:rsid w:val="3BAF251F"/>
    <w:rsid w:val="3BEB4865"/>
    <w:rsid w:val="3C041B0C"/>
    <w:rsid w:val="3C0E2679"/>
    <w:rsid w:val="3C1C6B44"/>
    <w:rsid w:val="3C252E1A"/>
    <w:rsid w:val="3C474644"/>
    <w:rsid w:val="3C4A619D"/>
    <w:rsid w:val="3CAF21B5"/>
    <w:rsid w:val="3CF54785"/>
    <w:rsid w:val="3CFF70EF"/>
    <w:rsid w:val="3D1675C3"/>
    <w:rsid w:val="3D2C7781"/>
    <w:rsid w:val="3D34724D"/>
    <w:rsid w:val="3D440B54"/>
    <w:rsid w:val="3D4462AD"/>
    <w:rsid w:val="3D5458EA"/>
    <w:rsid w:val="3D700FD0"/>
    <w:rsid w:val="3D8C4A0B"/>
    <w:rsid w:val="3DB154C2"/>
    <w:rsid w:val="3DC97ABD"/>
    <w:rsid w:val="3E1C7D2C"/>
    <w:rsid w:val="3E3254E5"/>
    <w:rsid w:val="3E3B7CB2"/>
    <w:rsid w:val="3EBA43F3"/>
    <w:rsid w:val="3ECA2416"/>
    <w:rsid w:val="3ED80047"/>
    <w:rsid w:val="3EED086B"/>
    <w:rsid w:val="3F2A5A1C"/>
    <w:rsid w:val="3F3F65BB"/>
    <w:rsid w:val="3F6C1521"/>
    <w:rsid w:val="3F76595D"/>
    <w:rsid w:val="3F9B2881"/>
    <w:rsid w:val="3FAE2EBD"/>
    <w:rsid w:val="3FB01D6D"/>
    <w:rsid w:val="3FD15FB3"/>
    <w:rsid w:val="3FE045CB"/>
    <w:rsid w:val="3FFC50A8"/>
    <w:rsid w:val="40051116"/>
    <w:rsid w:val="404262EE"/>
    <w:rsid w:val="404A019E"/>
    <w:rsid w:val="408E714D"/>
    <w:rsid w:val="40A20089"/>
    <w:rsid w:val="40A6333C"/>
    <w:rsid w:val="40BF2F13"/>
    <w:rsid w:val="40D55514"/>
    <w:rsid w:val="410C17C8"/>
    <w:rsid w:val="41261B24"/>
    <w:rsid w:val="41483F38"/>
    <w:rsid w:val="414E378C"/>
    <w:rsid w:val="41521EDB"/>
    <w:rsid w:val="4155622F"/>
    <w:rsid w:val="4159518F"/>
    <w:rsid w:val="415972A4"/>
    <w:rsid w:val="41636DBB"/>
    <w:rsid w:val="416442BC"/>
    <w:rsid w:val="41710552"/>
    <w:rsid w:val="417D64FE"/>
    <w:rsid w:val="41867049"/>
    <w:rsid w:val="419B3FAC"/>
    <w:rsid w:val="419B7872"/>
    <w:rsid w:val="42103159"/>
    <w:rsid w:val="424A57F7"/>
    <w:rsid w:val="425F22F6"/>
    <w:rsid w:val="42642852"/>
    <w:rsid w:val="42A72EE0"/>
    <w:rsid w:val="42AB28BD"/>
    <w:rsid w:val="42AB732E"/>
    <w:rsid w:val="42C95469"/>
    <w:rsid w:val="42D33CD5"/>
    <w:rsid w:val="42D62878"/>
    <w:rsid w:val="42E91431"/>
    <w:rsid w:val="43043352"/>
    <w:rsid w:val="430D1253"/>
    <w:rsid w:val="431B31AB"/>
    <w:rsid w:val="43253002"/>
    <w:rsid w:val="432609DA"/>
    <w:rsid w:val="434002AA"/>
    <w:rsid w:val="435B539B"/>
    <w:rsid w:val="43707FA6"/>
    <w:rsid w:val="43900187"/>
    <w:rsid w:val="439D597F"/>
    <w:rsid w:val="43B3032A"/>
    <w:rsid w:val="43B43B06"/>
    <w:rsid w:val="43BE0EFA"/>
    <w:rsid w:val="43E97D31"/>
    <w:rsid w:val="43EB78AE"/>
    <w:rsid w:val="43FC0B46"/>
    <w:rsid w:val="44173ADD"/>
    <w:rsid w:val="442F13DF"/>
    <w:rsid w:val="4434181A"/>
    <w:rsid w:val="44707255"/>
    <w:rsid w:val="44845D06"/>
    <w:rsid w:val="44A16369"/>
    <w:rsid w:val="44D22496"/>
    <w:rsid w:val="452E1696"/>
    <w:rsid w:val="45432D71"/>
    <w:rsid w:val="45506A69"/>
    <w:rsid w:val="45DD3705"/>
    <w:rsid w:val="45F76FD5"/>
    <w:rsid w:val="46412A87"/>
    <w:rsid w:val="46580D2C"/>
    <w:rsid w:val="46592B17"/>
    <w:rsid w:val="465F71F4"/>
    <w:rsid w:val="466A0A9B"/>
    <w:rsid w:val="4678212C"/>
    <w:rsid w:val="467C279A"/>
    <w:rsid w:val="46911BAA"/>
    <w:rsid w:val="469943FC"/>
    <w:rsid w:val="46AF5F40"/>
    <w:rsid w:val="46BE47D3"/>
    <w:rsid w:val="46CC6B29"/>
    <w:rsid w:val="46D429EA"/>
    <w:rsid w:val="46E54CA8"/>
    <w:rsid w:val="46ED67B9"/>
    <w:rsid w:val="47057AAE"/>
    <w:rsid w:val="472A368F"/>
    <w:rsid w:val="47355390"/>
    <w:rsid w:val="47370E88"/>
    <w:rsid w:val="473A5873"/>
    <w:rsid w:val="47417E82"/>
    <w:rsid w:val="47584FAC"/>
    <w:rsid w:val="4773177B"/>
    <w:rsid w:val="477F627D"/>
    <w:rsid w:val="478047E4"/>
    <w:rsid w:val="47977E9A"/>
    <w:rsid w:val="479C0875"/>
    <w:rsid w:val="47D33671"/>
    <w:rsid w:val="47E84FBF"/>
    <w:rsid w:val="47F31FB1"/>
    <w:rsid w:val="48042368"/>
    <w:rsid w:val="481F2A04"/>
    <w:rsid w:val="482109BA"/>
    <w:rsid w:val="48262F05"/>
    <w:rsid w:val="483116B1"/>
    <w:rsid w:val="4831524C"/>
    <w:rsid w:val="483A06CB"/>
    <w:rsid w:val="48445B61"/>
    <w:rsid w:val="4846595E"/>
    <w:rsid w:val="485F5610"/>
    <w:rsid w:val="4868187F"/>
    <w:rsid w:val="486E09BF"/>
    <w:rsid w:val="487D41D3"/>
    <w:rsid w:val="48896E66"/>
    <w:rsid w:val="48B001DF"/>
    <w:rsid w:val="48CF4605"/>
    <w:rsid w:val="48D43140"/>
    <w:rsid w:val="48F857E6"/>
    <w:rsid w:val="49191496"/>
    <w:rsid w:val="491C1B3D"/>
    <w:rsid w:val="49364B42"/>
    <w:rsid w:val="493D634C"/>
    <w:rsid w:val="495E3217"/>
    <w:rsid w:val="49743034"/>
    <w:rsid w:val="499C51BD"/>
    <w:rsid w:val="4A1D40A9"/>
    <w:rsid w:val="4A236F35"/>
    <w:rsid w:val="4A2714D2"/>
    <w:rsid w:val="4A3A1D03"/>
    <w:rsid w:val="4A5D78A0"/>
    <w:rsid w:val="4A601B6F"/>
    <w:rsid w:val="4A8F0963"/>
    <w:rsid w:val="4A922C20"/>
    <w:rsid w:val="4AC71FA6"/>
    <w:rsid w:val="4ADA43D9"/>
    <w:rsid w:val="4B081E7E"/>
    <w:rsid w:val="4B494D94"/>
    <w:rsid w:val="4B5C724C"/>
    <w:rsid w:val="4B610E37"/>
    <w:rsid w:val="4B760A4F"/>
    <w:rsid w:val="4B847782"/>
    <w:rsid w:val="4B8775FF"/>
    <w:rsid w:val="4B9F6E4A"/>
    <w:rsid w:val="4BB1426C"/>
    <w:rsid w:val="4BDD0DFB"/>
    <w:rsid w:val="4BE82694"/>
    <w:rsid w:val="4BF36495"/>
    <w:rsid w:val="4BFA5AE7"/>
    <w:rsid w:val="4C024DEE"/>
    <w:rsid w:val="4C0D1F8B"/>
    <w:rsid w:val="4C1444FA"/>
    <w:rsid w:val="4C4320F2"/>
    <w:rsid w:val="4C4579F1"/>
    <w:rsid w:val="4C675EBB"/>
    <w:rsid w:val="4C804ECE"/>
    <w:rsid w:val="4C9A6388"/>
    <w:rsid w:val="4CA70C31"/>
    <w:rsid w:val="4CB22BAD"/>
    <w:rsid w:val="4CF71CEC"/>
    <w:rsid w:val="4D0C0C93"/>
    <w:rsid w:val="4D3F3347"/>
    <w:rsid w:val="4D4F7D5E"/>
    <w:rsid w:val="4D6041C3"/>
    <w:rsid w:val="4D6C2D05"/>
    <w:rsid w:val="4DA231F0"/>
    <w:rsid w:val="4DA83CB0"/>
    <w:rsid w:val="4DAE479E"/>
    <w:rsid w:val="4DD43602"/>
    <w:rsid w:val="4E0D3107"/>
    <w:rsid w:val="4E235986"/>
    <w:rsid w:val="4E4F6897"/>
    <w:rsid w:val="4E510CB1"/>
    <w:rsid w:val="4E54593F"/>
    <w:rsid w:val="4E6A420D"/>
    <w:rsid w:val="4E6D2BB6"/>
    <w:rsid w:val="4E7445BE"/>
    <w:rsid w:val="4E8E42C1"/>
    <w:rsid w:val="4EAF79B8"/>
    <w:rsid w:val="4EBE7F2F"/>
    <w:rsid w:val="4ED1389E"/>
    <w:rsid w:val="4F0E4A13"/>
    <w:rsid w:val="4F52052F"/>
    <w:rsid w:val="4F531CBF"/>
    <w:rsid w:val="4F5A01B5"/>
    <w:rsid w:val="4F6C240F"/>
    <w:rsid w:val="4F74424B"/>
    <w:rsid w:val="4F745C45"/>
    <w:rsid w:val="4F7B197C"/>
    <w:rsid w:val="4F80696C"/>
    <w:rsid w:val="4F857832"/>
    <w:rsid w:val="4FAB61BA"/>
    <w:rsid w:val="4FCB0696"/>
    <w:rsid w:val="4FE355E6"/>
    <w:rsid w:val="4FF21938"/>
    <w:rsid w:val="4FF260E2"/>
    <w:rsid w:val="5011414B"/>
    <w:rsid w:val="50281B04"/>
    <w:rsid w:val="50433744"/>
    <w:rsid w:val="50563173"/>
    <w:rsid w:val="506016B5"/>
    <w:rsid w:val="506438C6"/>
    <w:rsid w:val="5085464C"/>
    <w:rsid w:val="508C61A1"/>
    <w:rsid w:val="50C61BF7"/>
    <w:rsid w:val="50FB340D"/>
    <w:rsid w:val="51076C84"/>
    <w:rsid w:val="513B5C76"/>
    <w:rsid w:val="51567688"/>
    <w:rsid w:val="515E19DC"/>
    <w:rsid w:val="515F5A8C"/>
    <w:rsid w:val="51670099"/>
    <w:rsid w:val="518375A0"/>
    <w:rsid w:val="51BC07DC"/>
    <w:rsid w:val="51E62387"/>
    <w:rsid w:val="52096481"/>
    <w:rsid w:val="52654C76"/>
    <w:rsid w:val="52686B0B"/>
    <w:rsid w:val="52A55F84"/>
    <w:rsid w:val="52A6300A"/>
    <w:rsid w:val="52C91DEC"/>
    <w:rsid w:val="52DE4D6B"/>
    <w:rsid w:val="52F34643"/>
    <w:rsid w:val="52F876A0"/>
    <w:rsid w:val="53146C2B"/>
    <w:rsid w:val="53191F5C"/>
    <w:rsid w:val="53484251"/>
    <w:rsid w:val="5394276A"/>
    <w:rsid w:val="53A37386"/>
    <w:rsid w:val="541B5347"/>
    <w:rsid w:val="544C67FD"/>
    <w:rsid w:val="54520EFE"/>
    <w:rsid w:val="54756F34"/>
    <w:rsid w:val="54786441"/>
    <w:rsid w:val="549809CE"/>
    <w:rsid w:val="54A37382"/>
    <w:rsid w:val="54BB3E9C"/>
    <w:rsid w:val="54BD10F9"/>
    <w:rsid w:val="54D0328D"/>
    <w:rsid w:val="54E02400"/>
    <w:rsid w:val="54EB36D5"/>
    <w:rsid w:val="550C7503"/>
    <w:rsid w:val="551408A9"/>
    <w:rsid w:val="553D0C52"/>
    <w:rsid w:val="55592B6A"/>
    <w:rsid w:val="55BA4B68"/>
    <w:rsid w:val="55BE5C8A"/>
    <w:rsid w:val="55EA6DA8"/>
    <w:rsid w:val="561F03F4"/>
    <w:rsid w:val="561F12B3"/>
    <w:rsid w:val="56412282"/>
    <w:rsid w:val="566D6798"/>
    <w:rsid w:val="567270D6"/>
    <w:rsid w:val="56872A22"/>
    <w:rsid w:val="568F2C59"/>
    <w:rsid w:val="569B54A8"/>
    <w:rsid w:val="56AF6ADB"/>
    <w:rsid w:val="56D54740"/>
    <w:rsid w:val="57014CA6"/>
    <w:rsid w:val="5729712E"/>
    <w:rsid w:val="57571025"/>
    <w:rsid w:val="57604C5B"/>
    <w:rsid w:val="579748CE"/>
    <w:rsid w:val="57A34451"/>
    <w:rsid w:val="57A94C7E"/>
    <w:rsid w:val="57B91655"/>
    <w:rsid w:val="57C11CAC"/>
    <w:rsid w:val="57DA41A4"/>
    <w:rsid w:val="57DA7279"/>
    <w:rsid w:val="58421289"/>
    <w:rsid w:val="584307C9"/>
    <w:rsid w:val="58445001"/>
    <w:rsid w:val="587358E6"/>
    <w:rsid w:val="587421B1"/>
    <w:rsid w:val="58746CFF"/>
    <w:rsid w:val="58966938"/>
    <w:rsid w:val="5898015D"/>
    <w:rsid w:val="58A63C83"/>
    <w:rsid w:val="58C61E79"/>
    <w:rsid w:val="58F95DD6"/>
    <w:rsid w:val="59022FDB"/>
    <w:rsid w:val="59061269"/>
    <w:rsid w:val="591C1C4E"/>
    <w:rsid w:val="591E1CF6"/>
    <w:rsid w:val="59357671"/>
    <w:rsid w:val="595C0948"/>
    <w:rsid w:val="596F5C8F"/>
    <w:rsid w:val="5975034C"/>
    <w:rsid w:val="59A321FB"/>
    <w:rsid w:val="59AA657A"/>
    <w:rsid w:val="59B27085"/>
    <w:rsid w:val="59CF042F"/>
    <w:rsid w:val="5A1633EE"/>
    <w:rsid w:val="5A1B68BD"/>
    <w:rsid w:val="5A292701"/>
    <w:rsid w:val="5A3431DE"/>
    <w:rsid w:val="5A3F302F"/>
    <w:rsid w:val="5A4857F6"/>
    <w:rsid w:val="5A690D4F"/>
    <w:rsid w:val="5A7871E4"/>
    <w:rsid w:val="5A8C59CD"/>
    <w:rsid w:val="5AA77AC9"/>
    <w:rsid w:val="5AAB5107"/>
    <w:rsid w:val="5AB9243D"/>
    <w:rsid w:val="5AEB63D3"/>
    <w:rsid w:val="5B055DDA"/>
    <w:rsid w:val="5B1769FD"/>
    <w:rsid w:val="5B2477AE"/>
    <w:rsid w:val="5B483A97"/>
    <w:rsid w:val="5B546887"/>
    <w:rsid w:val="5B5C1A45"/>
    <w:rsid w:val="5B615ECA"/>
    <w:rsid w:val="5B730CA8"/>
    <w:rsid w:val="5B7761B0"/>
    <w:rsid w:val="5BB56DEB"/>
    <w:rsid w:val="5BB73F88"/>
    <w:rsid w:val="5BD30B34"/>
    <w:rsid w:val="5BD50246"/>
    <w:rsid w:val="5BED29D3"/>
    <w:rsid w:val="5BF3322A"/>
    <w:rsid w:val="5BF34EC2"/>
    <w:rsid w:val="5C0056AF"/>
    <w:rsid w:val="5C036FF3"/>
    <w:rsid w:val="5C092A6E"/>
    <w:rsid w:val="5C1A0834"/>
    <w:rsid w:val="5C4A269E"/>
    <w:rsid w:val="5C4A782C"/>
    <w:rsid w:val="5C5465FE"/>
    <w:rsid w:val="5C65291D"/>
    <w:rsid w:val="5C942044"/>
    <w:rsid w:val="5C9A78E6"/>
    <w:rsid w:val="5CAF0362"/>
    <w:rsid w:val="5CBF07AB"/>
    <w:rsid w:val="5CCE2A56"/>
    <w:rsid w:val="5CDC4C65"/>
    <w:rsid w:val="5D063621"/>
    <w:rsid w:val="5D452F43"/>
    <w:rsid w:val="5D5061F6"/>
    <w:rsid w:val="5D624E8E"/>
    <w:rsid w:val="5D97175F"/>
    <w:rsid w:val="5DAB15A5"/>
    <w:rsid w:val="5DB13A08"/>
    <w:rsid w:val="5DC002AB"/>
    <w:rsid w:val="5DE3706A"/>
    <w:rsid w:val="5DE502E3"/>
    <w:rsid w:val="5DF12412"/>
    <w:rsid w:val="5DF60A9B"/>
    <w:rsid w:val="5E1B162B"/>
    <w:rsid w:val="5E4E30FA"/>
    <w:rsid w:val="5E550183"/>
    <w:rsid w:val="5E563CE0"/>
    <w:rsid w:val="5E5E7944"/>
    <w:rsid w:val="5E696D74"/>
    <w:rsid w:val="5E873E9A"/>
    <w:rsid w:val="5E8C7166"/>
    <w:rsid w:val="5E9D1D78"/>
    <w:rsid w:val="5EBE71B6"/>
    <w:rsid w:val="5ECA7944"/>
    <w:rsid w:val="5ECC5D50"/>
    <w:rsid w:val="5EDB33E6"/>
    <w:rsid w:val="5F07795B"/>
    <w:rsid w:val="5F0A4D46"/>
    <w:rsid w:val="5F1D0F93"/>
    <w:rsid w:val="5F3C5A9F"/>
    <w:rsid w:val="5F43024C"/>
    <w:rsid w:val="5F504CBD"/>
    <w:rsid w:val="5F790C56"/>
    <w:rsid w:val="5F9C3BD3"/>
    <w:rsid w:val="5FB7255D"/>
    <w:rsid w:val="5FB85D7A"/>
    <w:rsid w:val="5FC00A89"/>
    <w:rsid w:val="5FE73CA1"/>
    <w:rsid w:val="60033730"/>
    <w:rsid w:val="6013556C"/>
    <w:rsid w:val="60163681"/>
    <w:rsid w:val="60233229"/>
    <w:rsid w:val="602E1826"/>
    <w:rsid w:val="60694EAB"/>
    <w:rsid w:val="60912483"/>
    <w:rsid w:val="609C406E"/>
    <w:rsid w:val="60A96B43"/>
    <w:rsid w:val="60B42A8D"/>
    <w:rsid w:val="60B42F40"/>
    <w:rsid w:val="60C26423"/>
    <w:rsid w:val="60D52CC4"/>
    <w:rsid w:val="60EC6DF3"/>
    <w:rsid w:val="60EF5890"/>
    <w:rsid w:val="61554FF2"/>
    <w:rsid w:val="617E52E2"/>
    <w:rsid w:val="617E670F"/>
    <w:rsid w:val="61A77E0C"/>
    <w:rsid w:val="61B66FCC"/>
    <w:rsid w:val="61B800DA"/>
    <w:rsid w:val="61D449E7"/>
    <w:rsid w:val="61E00887"/>
    <w:rsid w:val="61E41904"/>
    <w:rsid w:val="621161B9"/>
    <w:rsid w:val="621F1B55"/>
    <w:rsid w:val="622C1A14"/>
    <w:rsid w:val="624F24F1"/>
    <w:rsid w:val="6292166F"/>
    <w:rsid w:val="62993A7C"/>
    <w:rsid w:val="62BB5A83"/>
    <w:rsid w:val="62F34DB6"/>
    <w:rsid w:val="62F806AD"/>
    <w:rsid w:val="62FD36ED"/>
    <w:rsid w:val="63276B7D"/>
    <w:rsid w:val="632C4EDB"/>
    <w:rsid w:val="63590454"/>
    <w:rsid w:val="637555FC"/>
    <w:rsid w:val="63C139AA"/>
    <w:rsid w:val="63E21557"/>
    <w:rsid w:val="63E44C51"/>
    <w:rsid w:val="644C2E80"/>
    <w:rsid w:val="645417EB"/>
    <w:rsid w:val="64561AD1"/>
    <w:rsid w:val="64AB5CF7"/>
    <w:rsid w:val="65091EBA"/>
    <w:rsid w:val="65160B9B"/>
    <w:rsid w:val="65165661"/>
    <w:rsid w:val="651D7074"/>
    <w:rsid w:val="6522145E"/>
    <w:rsid w:val="652F6F72"/>
    <w:rsid w:val="655550CF"/>
    <w:rsid w:val="655D3BA6"/>
    <w:rsid w:val="65890310"/>
    <w:rsid w:val="658E7001"/>
    <w:rsid w:val="65B42C46"/>
    <w:rsid w:val="65D12703"/>
    <w:rsid w:val="65DA6A8F"/>
    <w:rsid w:val="66013AFE"/>
    <w:rsid w:val="66087066"/>
    <w:rsid w:val="66195589"/>
    <w:rsid w:val="66537C51"/>
    <w:rsid w:val="66541819"/>
    <w:rsid w:val="666E4E7C"/>
    <w:rsid w:val="668A4648"/>
    <w:rsid w:val="668B029F"/>
    <w:rsid w:val="66982363"/>
    <w:rsid w:val="66B32A43"/>
    <w:rsid w:val="66C92BEF"/>
    <w:rsid w:val="671A5C54"/>
    <w:rsid w:val="6734640F"/>
    <w:rsid w:val="67453B5C"/>
    <w:rsid w:val="67644D38"/>
    <w:rsid w:val="677115D0"/>
    <w:rsid w:val="67994CFB"/>
    <w:rsid w:val="67B96800"/>
    <w:rsid w:val="67DC1B86"/>
    <w:rsid w:val="67DF0A57"/>
    <w:rsid w:val="67E467DB"/>
    <w:rsid w:val="67FD341E"/>
    <w:rsid w:val="68186BC2"/>
    <w:rsid w:val="68301101"/>
    <w:rsid w:val="683462C7"/>
    <w:rsid w:val="68422FD6"/>
    <w:rsid w:val="687A1D98"/>
    <w:rsid w:val="68933059"/>
    <w:rsid w:val="68980A0F"/>
    <w:rsid w:val="68AD235F"/>
    <w:rsid w:val="68CE54C2"/>
    <w:rsid w:val="68E96A7D"/>
    <w:rsid w:val="69274557"/>
    <w:rsid w:val="693379E6"/>
    <w:rsid w:val="694D24E6"/>
    <w:rsid w:val="69727AB1"/>
    <w:rsid w:val="697E556B"/>
    <w:rsid w:val="69875173"/>
    <w:rsid w:val="699A0573"/>
    <w:rsid w:val="69A81316"/>
    <w:rsid w:val="69B16F5B"/>
    <w:rsid w:val="69BB70A1"/>
    <w:rsid w:val="69ED7C5B"/>
    <w:rsid w:val="69F026F3"/>
    <w:rsid w:val="6A266134"/>
    <w:rsid w:val="6A5E30FA"/>
    <w:rsid w:val="6A5F7FA9"/>
    <w:rsid w:val="6A682879"/>
    <w:rsid w:val="6A696279"/>
    <w:rsid w:val="6A6F06CE"/>
    <w:rsid w:val="6A8955C1"/>
    <w:rsid w:val="6AB15B03"/>
    <w:rsid w:val="6AB23A6F"/>
    <w:rsid w:val="6AB94177"/>
    <w:rsid w:val="6AF73C4D"/>
    <w:rsid w:val="6B0400BA"/>
    <w:rsid w:val="6B2036AC"/>
    <w:rsid w:val="6BA35B72"/>
    <w:rsid w:val="6BA73DCD"/>
    <w:rsid w:val="6BCB694A"/>
    <w:rsid w:val="6BD526E8"/>
    <w:rsid w:val="6C2E1D74"/>
    <w:rsid w:val="6C3205F2"/>
    <w:rsid w:val="6C4955ED"/>
    <w:rsid w:val="6C8226EC"/>
    <w:rsid w:val="6C9A123C"/>
    <w:rsid w:val="6CA03331"/>
    <w:rsid w:val="6CF7043C"/>
    <w:rsid w:val="6D2B74B3"/>
    <w:rsid w:val="6D442A68"/>
    <w:rsid w:val="6D561607"/>
    <w:rsid w:val="6D8835F2"/>
    <w:rsid w:val="6DB979F6"/>
    <w:rsid w:val="6DD26D87"/>
    <w:rsid w:val="6E053CF1"/>
    <w:rsid w:val="6E2C2AAC"/>
    <w:rsid w:val="6E343FC5"/>
    <w:rsid w:val="6E685DCF"/>
    <w:rsid w:val="6E733A13"/>
    <w:rsid w:val="6E7F019A"/>
    <w:rsid w:val="6E8505CD"/>
    <w:rsid w:val="6E9A17E4"/>
    <w:rsid w:val="6ED328F8"/>
    <w:rsid w:val="6EE45779"/>
    <w:rsid w:val="6EE8525B"/>
    <w:rsid w:val="6EEC0419"/>
    <w:rsid w:val="6F0C7044"/>
    <w:rsid w:val="6F5C3446"/>
    <w:rsid w:val="6F5F366D"/>
    <w:rsid w:val="6F66196F"/>
    <w:rsid w:val="6F7B4973"/>
    <w:rsid w:val="6F976038"/>
    <w:rsid w:val="6FAE4633"/>
    <w:rsid w:val="6FB14FDD"/>
    <w:rsid w:val="6FB414F9"/>
    <w:rsid w:val="6FB52D3B"/>
    <w:rsid w:val="6FBC0350"/>
    <w:rsid w:val="6FE67E92"/>
    <w:rsid w:val="6FFA046D"/>
    <w:rsid w:val="6FFD3FBC"/>
    <w:rsid w:val="701202B0"/>
    <w:rsid w:val="7020137A"/>
    <w:rsid w:val="7026664A"/>
    <w:rsid w:val="702D1304"/>
    <w:rsid w:val="7080073D"/>
    <w:rsid w:val="70AC593E"/>
    <w:rsid w:val="70DB5380"/>
    <w:rsid w:val="70E65ABD"/>
    <w:rsid w:val="70F060BF"/>
    <w:rsid w:val="70F3485E"/>
    <w:rsid w:val="70FC2534"/>
    <w:rsid w:val="71072C18"/>
    <w:rsid w:val="712C76B1"/>
    <w:rsid w:val="71484198"/>
    <w:rsid w:val="71484277"/>
    <w:rsid w:val="71496110"/>
    <w:rsid w:val="714B50E4"/>
    <w:rsid w:val="717763E0"/>
    <w:rsid w:val="719F67A9"/>
    <w:rsid w:val="71A039CA"/>
    <w:rsid w:val="71B56404"/>
    <w:rsid w:val="71BE3C1E"/>
    <w:rsid w:val="71CB4998"/>
    <w:rsid w:val="72040878"/>
    <w:rsid w:val="720C1226"/>
    <w:rsid w:val="722968CE"/>
    <w:rsid w:val="722B682A"/>
    <w:rsid w:val="7236068F"/>
    <w:rsid w:val="72650D15"/>
    <w:rsid w:val="72655E48"/>
    <w:rsid w:val="726C0DFA"/>
    <w:rsid w:val="72720DA8"/>
    <w:rsid w:val="727E50B8"/>
    <w:rsid w:val="7281018F"/>
    <w:rsid w:val="728237ED"/>
    <w:rsid w:val="72915DE5"/>
    <w:rsid w:val="72991964"/>
    <w:rsid w:val="72DC453A"/>
    <w:rsid w:val="72DD6326"/>
    <w:rsid w:val="72DE12E4"/>
    <w:rsid w:val="731F5B26"/>
    <w:rsid w:val="732353C8"/>
    <w:rsid w:val="73284072"/>
    <w:rsid w:val="733C1EBF"/>
    <w:rsid w:val="7398676E"/>
    <w:rsid w:val="73B56F9D"/>
    <w:rsid w:val="73D2750D"/>
    <w:rsid w:val="73E24B9E"/>
    <w:rsid w:val="73F729DF"/>
    <w:rsid w:val="74174E8A"/>
    <w:rsid w:val="74566390"/>
    <w:rsid w:val="74575C64"/>
    <w:rsid w:val="74585884"/>
    <w:rsid w:val="74603710"/>
    <w:rsid w:val="747273EC"/>
    <w:rsid w:val="74DB403A"/>
    <w:rsid w:val="74F103FB"/>
    <w:rsid w:val="751A48A4"/>
    <w:rsid w:val="752B0F3E"/>
    <w:rsid w:val="752D2605"/>
    <w:rsid w:val="75872ED6"/>
    <w:rsid w:val="75B23A9A"/>
    <w:rsid w:val="75C97401"/>
    <w:rsid w:val="75CA59AF"/>
    <w:rsid w:val="75D9468C"/>
    <w:rsid w:val="76037B74"/>
    <w:rsid w:val="76197200"/>
    <w:rsid w:val="764023DB"/>
    <w:rsid w:val="766043AC"/>
    <w:rsid w:val="76AB01FE"/>
    <w:rsid w:val="76B850E0"/>
    <w:rsid w:val="76C007B3"/>
    <w:rsid w:val="77066FA1"/>
    <w:rsid w:val="77162318"/>
    <w:rsid w:val="771A0804"/>
    <w:rsid w:val="774C75D7"/>
    <w:rsid w:val="7758591D"/>
    <w:rsid w:val="777D3C34"/>
    <w:rsid w:val="778000DB"/>
    <w:rsid w:val="77B74610"/>
    <w:rsid w:val="77D860B7"/>
    <w:rsid w:val="77F17E4F"/>
    <w:rsid w:val="782A352D"/>
    <w:rsid w:val="78386464"/>
    <w:rsid w:val="78650DEF"/>
    <w:rsid w:val="788D26D5"/>
    <w:rsid w:val="788E737B"/>
    <w:rsid w:val="789254BD"/>
    <w:rsid w:val="78A81ACF"/>
    <w:rsid w:val="78CE50BF"/>
    <w:rsid w:val="78D55489"/>
    <w:rsid w:val="78D93E53"/>
    <w:rsid w:val="78DC713A"/>
    <w:rsid w:val="79001CC0"/>
    <w:rsid w:val="79115E21"/>
    <w:rsid w:val="793106BA"/>
    <w:rsid w:val="794E2578"/>
    <w:rsid w:val="79A36657"/>
    <w:rsid w:val="79D305F5"/>
    <w:rsid w:val="79DB2726"/>
    <w:rsid w:val="7A230AC3"/>
    <w:rsid w:val="7A2C5C95"/>
    <w:rsid w:val="7A3331F8"/>
    <w:rsid w:val="7A404ED2"/>
    <w:rsid w:val="7A457834"/>
    <w:rsid w:val="7A601D17"/>
    <w:rsid w:val="7A617832"/>
    <w:rsid w:val="7AAD0D3D"/>
    <w:rsid w:val="7AAF253F"/>
    <w:rsid w:val="7AC57E1C"/>
    <w:rsid w:val="7AF156D3"/>
    <w:rsid w:val="7AFD00BF"/>
    <w:rsid w:val="7B4A02D1"/>
    <w:rsid w:val="7B793006"/>
    <w:rsid w:val="7B854B48"/>
    <w:rsid w:val="7BB87068"/>
    <w:rsid w:val="7BB95C00"/>
    <w:rsid w:val="7BBA0FB3"/>
    <w:rsid w:val="7BD35234"/>
    <w:rsid w:val="7BEA28E5"/>
    <w:rsid w:val="7BF1688F"/>
    <w:rsid w:val="7C305A45"/>
    <w:rsid w:val="7C4161AE"/>
    <w:rsid w:val="7C8F1AD5"/>
    <w:rsid w:val="7C957C9C"/>
    <w:rsid w:val="7CB06B13"/>
    <w:rsid w:val="7CE2648F"/>
    <w:rsid w:val="7D4A641F"/>
    <w:rsid w:val="7D5C3788"/>
    <w:rsid w:val="7D7358BD"/>
    <w:rsid w:val="7D746165"/>
    <w:rsid w:val="7D887D96"/>
    <w:rsid w:val="7D994AF3"/>
    <w:rsid w:val="7DB6029F"/>
    <w:rsid w:val="7DC205F3"/>
    <w:rsid w:val="7DC36F65"/>
    <w:rsid w:val="7DD24CD9"/>
    <w:rsid w:val="7DDD164A"/>
    <w:rsid w:val="7DF72A58"/>
    <w:rsid w:val="7E2A21C6"/>
    <w:rsid w:val="7E2D2649"/>
    <w:rsid w:val="7E4513CD"/>
    <w:rsid w:val="7E5F3596"/>
    <w:rsid w:val="7E6A3FF0"/>
    <w:rsid w:val="7E8B30DA"/>
    <w:rsid w:val="7E9530F8"/>
    <w:rsid w:val="7EA50253"/>
    <w:rsid w:val="7EA859BE"/>
    <w:rsid w:val="7EBB6D4F"/>
    <w:rsid w:val="7EC2502A"/>
    <w:rsid w:val="7EDE1BF1"/>
    <w:rsid w:val="7EE96562"/>
    <w:rsid w:val="7F052E8D"/>
    <w:rsid w:val="7F0E3DEF"/>
    <w:rsid w:val="7F130B7F"/>
    <w:rsid w:val="7F160BF6"/>
    <w:rsid w:val="7F631961"/>
    <w:rsid w:val="7F7D0E21"/>
    <w:rsid w:val="7F8E5181"/>
    <w:rsid w:val="7FAE0E2E"/>
    <w:rsid w:val="7FB8518E"/>
    <w:rsid w:val="7FD43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nhideWhenUsed="0" w:uiPriority="0" w:semiHidden="0" w:name="envelope address" w:locked="1"/>
    <w:lsdException w:unhideWhenUsed="0" w:uiPriority="0" w:semiHidden="0" w:name="envelope return" w:locked="1"/>
    <w:lsdException w:qFormat="1" w:unhideWhenUsed="0" w:uiPriority="0" w:name="footnote reference"/>
    <w:lsdException w:qFormat="1" w:unhideWhenUsed="0" w:uiPriority="0" w:name="annotation reference"/>
    <w:lsdException w:unhideWhenUsed="0" w:uiPriority="0" w:semiHidden="0" w:name="line number" w:locked="1"/>
    <w:lsdException w:qFormat="1" w:unhideWhenUsed="0" w:uiPriority="0" w:semiHidden="0" w:name="page number"/>
    <w:lsdException w:qFormat="1" w:unhideWhenUsed="0" w:uiPriority="0"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ocked="1"/>
    <w:lsdException w:unhideWhenUsed="0" w:uiPriority="0" w:semiHidden="0" w:name="List 4" w:locked="1"/>
    <w:lsdException w:unhideWhenUsed="0" w:uiPriority="0" w:semiHidden="0" w:name="List 5" w:locked="1"/>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ocked="1"/>
    <w:lsdException w:unhideWhenUsed="0" w:uiPriority="0" w:semiHidden="0" w:name="Signature" w:locked="1"/>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qFormat="1" w:unhideWhenUsed="0" w:uiPriority="0" w:semiHidden="0" w:name="Message Header"/>
    <w:lsdException w:qFormat="1" w:unhideWhenUsed="0" w:uiPriority="0" w:semiHidden="0" w:name="Subtitle" w:locked="1"/>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ocked="1"/>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ocked="1"/>
    <w:lsdException w:qFormat="1" w:unhideWhenUsed="0" w:uiPriority="0" w:name="Document Map"/>
    <w:lsdException w:qFormat="1" w:unhideWhenUsed="0" w:uiPriority="0" w:semiHidden="0" w:name="Plain Text"/>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sdException w:unhideWhenUsed="0" w:uiPriority="0" w:semiHidden="0" w:name="HTML Sample" w:locked="1"/>
    <w:lsdException w:qFormat="1" w:unhideWhenUsed="0" w:uiPriority="0" w:semiHidden="0" w:name="HTML Typewriter"/>
    <w:lsdException w:unhideWhenUsed="0" w:uiPriority="0" w:semiHidden="0" w:name="HTML Variable" w:locked="1"/>
    <w:lsdException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7"/>
    <w:qFormat/>
    <w:uiPriority w:val="0"/>
    <w:pPr>
      <w:keepNext/>
      <w:keepLines/>
      <w:tabs>
        <w:tab w:val="left" w:pos="1440"/>
      </w:tabs>
      <w:spacing w:before="340" w:after="330" w:line="576" w:lineRule="auto"/>
      <w:ind w:left="432" w:hanging="432"/>
      <w:outlineLvl w:val="0"/>
    </w:pPr>
    <w:rPr>
      <w:b/>
      <w:bCs/>
      <w:kern w:val="44"/>
      <w:sz w:val="44"/>
      <w:szCs w:val="44"/>
    </w:rPr>
  </w:style>
  <w:style w:type="paragraph" w:styleId="5">
    <w:name w:val="heading 2"/>
    <w:basedOn w:val="1"/>
    <w:next w:val="1"/>
    <w:link w:val="88"/>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link w:val="89"/>
    <w:qFormat/>
    <w:uiPriority w:val="0"/>
    <w:pPr>
      <w:keepNext/>
      <w:keepLines/>
      <w:spacing w:before="260" w:after="260" w:line="416" w:lineRule="auto"/>
      <w:outlineLvl w:val="2"/>
    </w:pPr>
    <w:rPr>
      <w:b/>
      <w:bCs/>
      <w:sz w:val="32"/>
      <w:szCs w:val="32"/>
    </w:rPr>
  </w:style>
  <w:style w:type="paragraph" w:styleId="2">
    <w:name w:val="heading 4"/>
    <w:basedOn w:val="1"/>
    <w:next w:val="1"/>
    <w:link w:val="85"/>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90"/>
    <w:qFormat/>
    <w:uiPriority w:val="0"/>
    <w:pPr>
      <w:keepNext/>
      <w:keepLines/>
      <w:tabs>
        <w:tab w:val="left" w:pos="1008"/>
      </w:tabs>
      <w:spacing w:before="280" w:after="290" w:line="372" w:lineRule="auto"/>
      <w:ind w:left="1008" w:hanging="1008"/>
      <w:outlineLvl w:val="4"/>
    </w:pPr>
    <w:rPr>
      <w:b/>
      <w:sz w:val="28"/>
      <w:szCs w:val="20"/>
    </w:rPr>
  </w:style>
  <w:style w:type="paragraph" w:styleId="8">
    <w:name w:val="heading 6"/>
    <w:basedOn w:val="1"/>
    <w:next w:val="1"/>
    <w:link w:val="91"/>
    <w:qFormat/>
    <w:uiPriority w:val="0"/>
    <w:pPr>
      <w:keepNext/>
      <w:keepLines/>
      <w:tabs>
        <w:tab w:val="left" w:pos="1152"/>
      </w:tabs>
      <w:spacing w:before="240" w:after="64" w:line="317" w:lineRule="auto"/>
      <w:ind w:left="1152" w:hanging="1152"/>
      <w:outlineLvl w:val="5"/>
    </w:pPr>
    <w:rPr>
      <w:rFonts w:ascii="Arial" w:hAnsi="Arial" w:eastAsia="黑体"/>
      <w:b/>
      <w:sz w:val="24"/>
      <w:szCs w:val="20"/>
    </w:rPr>
  </w:style>
  <w:style w:type="paragraph" w:styleId="9">
    <w:name w:val="heading 7"/>
    <w:basedOn w:val="1"/>
    <w:next w:val="1"/>
    <w:link w:val="92"/>
    <w:qFormat/>
    <w:uiPriority w:val="0"/>
    <w:pPr>
      <w:keepNext/>
      <w:keepLines/>
      <w:tabs>
        <w:tab w:val="left" w:pos="1296"/>
      </w:tabs>
      <w:spacing w:before="240" w:after="64" w:line="317" w:lineRule="auto"/>
      <w:ind w:left="1296" w:hanging="1296"/>
      <w:outlineLvl w:val="6"/>
    </w:pPr>
    <w:rPr>
      <w:b/>
      <w:sz w:val="24"/>
      <w:szCs w:val="20"/>
    </w:rPr>
  </w:style>
  <w:style w:type="paragraph" w:styleId="10">
    <w:name w:val="heading 8"/>
    <w:basedOn w:val="1"/>
    <w:next w:val="1"/>
    <w:link w:val="93"/>
    <w:qFormat/>
    <w:uiPriority w:val="0"/>
    <w:pPr>
      <w:keepNext/>
      <w:keepLines/>
      <w:tabs>
        <w:tab w:val="left" w:pos="1440"/>
      </w:tabs>
      <w:spacing w:before="240" w:after="64" w:line="317" w:lineRule="auto"/>
      <w:ind w:left="1440" w:hanging="1440"/>
      <w:outlineLvl w:val="7"/>
    </w:pPr>
    <w:rPr>
      <w:rFonts w:ascii="Arial" w:hAnsi="Arial" w:eastAsia="黑体"/>
      <w:sz w:val="24"/>
      <w:szCs w:val="20"/>
    </w:rPr>
  </w:style>
  <w:style w:type="paragraph" w:styleId="11">
    <w:name w:val="heading 9"/>
    <w:basedOn w:val="1"/>
    <w:next w:val="1"/>
    <w:link w:val="94"/>
    <w:qFormat/>
    <w:uiPriority w:val="0"/>
    <w:pPr>
      <w:keepNext/>
      <w:keepLines/>
      <w:tabs>
        <w:tab w:val="left" w:pos="1584"/>
      </w:tabs>
      <w:spacing w:before="240" w:after="64" w:line="317" w:lineRule="auto"/>
      <w:ind w:left="1584" w:hanging="1584"/>
      <w:outlineLvl w:val="8"/>
    </w:pPr>
    <w:rPr>
      <w:rFonts w:ascii="Arial" w:hAnsi="Arial" w:eastAsia="黑体"/>
      <w:szCs w:val="20"/>
    </w:rPr>
  </w:style>
  <w:style w:type="character" w:default="1" w:styleId="76">
    <w:name w:val="Default Paragraph Font"/>
    <w:semiHidden/>
    <w:unhideWhenUsed/>
    <w:uiPriority w:val="1"/>
  </w:style>
  <w:style w:type="table" w:default="1" w:styleId="74">
    <w:name w:val="Normal Table"/>
    <w:semiHidden/>
    <w:unhideWhenUsed/>
    <w:uiPriority w:val="99"/>
    <w:tblPr>
      <w:tblCellMar>
        <w:top w:w="0" w:type="dxa"/>
        <w:left w:w="108" w:type="dxa"/>
        <w:bottom w:w="0" w:type="dxa"/>
        <w:right w:w="108" w:type="dxa"/>
      </w:tblCellMar>
    </w:tblPr>
  </w:style>
  <w:style w:type="paragraph" w:styleId="3">
    <w:name w:val="macro"/>
    <w:link w:val="86"/>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toc 7"/>
    <w:basedOn w:val="1"/>
    <w:next w:val="1"/>
    <w:semiHidden/>
    <w:qFormat/>
    <w:uiPriority w:val="0"/>
    <w:pPr>
      <w:ind w:left="1260"/>
      <w:jc w:val="left"/>
    </w:pPr>
    <w:rPr>
      <w:sz w:val="18"/>
      <w:szCs w:val="18"/>
    </w:rPr>
  </w:style>
  <w:style w:type="paragraph" w:styleId="13">
    <w:name w:val="List Number 2"/>
    <w:basedOn w:val="1"/>
    <w:qFormat/>
    <w:uiPriority w:val="0"/>
    <w:pPr>
      <w:tabs>
        <w:tab w:val="left" w:pos="780"/>
      </w:tabs>
      <w:spacing w:line="360" w:lineRule="auto"/>
      <w:ind w:left="780" w:hanging="360"/>
      <w:jc w:val="left"/>
    </w:pPr>
    <w:rPr>
      <w:rFonts w:ascii="宋体" w:hAnsi="宋体"/>
      <w:color w:val="7030A0"/>
      <w:sz w:val="24"/>
      <w:szCs w:val="20"/>
    </w:rPr>
  </w:style>
  <w:style w:type="paragraph" w:styleId="14">
    <w:name w:val="table of authorities"/>
    <w:basedOn w:val="1"/>
    <w:next w:val="1"/>
    <w:semiHidden/>
    <w:qFormat/>
    <w:uiPriority w:val="0"/>
    <w:pPr>
      <w:spacing w:line="480" w:lineRule="exact"/>
      <w:ind w:left="420" w:leftChars="200" w:firstLine="200" w:firstLineChars="200"/>
      <w:jc w:val="left"/>
    </w:pPr>
    <w:rPr>
      <w:color w:val="7030A0"/>
      <w:sz w:val="24"/>
    </w:rPr>
  </w:style>
  <w:style w:type="paragraph" w:styleId="15">
    <w:name w:val="List Bullet 4"/>
    <w:basedOn w:val="1"/>
    <w:qFormat/>
    <w:uiPriority w:val="0"/>
    <w:pPr>
      <w:tabs>
        <w:tab w:val="left" w:pos="1620"/>
      </w:tabs>
      <w:spacing w:line="360" w:lineRule="auto"/>
      <w:ind w:left="1620" w:hanging="360"/>
      <w:jc w:val="left"/>
    </w:pPr>
    <w:rPr>
      <w:rFonts w:ascii="宋体" w:hAnsi="宋体"/>
      <w:color w:val="7030A0"/>
      <w:sz w:val="24"/>
      <w:szCs w:val="20"/>
    </w:rPr>
  </w:style>
  <w:style w:type="paragraph" w:styleId="16">
    <w:name w:val="index 8"/>
    <w:basedOn w:val="1"/>
    <w:next w:val="1"/>
    <w:semiHidden/>
    <w:qFormat/>
    <w:uiPriority w:val="0"/>
    <w:pPr>
      <w:spacing w:line="480" w:lineRule="exact"/>
      <w:ind w:left="1400" w:leftChars="1400" w:firstLine="200" w:firstLineChars="200"/>
      <w:jc w:val="left"/>
    </w:pPr>
    <w:rPr>
      <w:color w:val="7030A0"/>
      <w:sz w:val="24"/>
    </w:rPr>
  </w:style>
  <w:style w:type="paragraph" w:styleId="17">
    <w:name w:val="List Number"/>
    <w:basedOn w:val="1"/>
    <w:qFormat/>
    <w:uiPriority w:val="0"/>
    <w:pPr>
      <w:tabs>
        <w:tab w:val="left" w:pos="360"/>
      </w:tabs>
      <w:spacing w:line="360" w:lineRule="auto"/>
      <w:ind w:left="360" w:hanging="360"/>
      <w:jc w:val="left"/>
    </w:pPr>
    <w:rPr>
      <w:rFonts w:ascii="宋体" w:hAnsi="宋体"/>
      <w:color w:val="7030A0"/>
      <w:sz w:val="24"/>
      <w:szCs w:val="20"/>
    </w:rPr>
  </w:style>
  <w:style w:type="paragraph" w:styleId="18">
    <w:name w:val="Normal Indent"/>
    <w:basedOn w:val="1"/>
    <w:link w:val="95"/>
    <w:qFormat/>
    <w:uiPriority w:val="0"/>
    <w:pPr>
      <w:autoSpaceDE w:val="0"/>
      <w:autoSpaceDN w:val="0"/>
      <w:adjustRightInd w:val="0"/>
      <w:spacing w:line="360" w:lineRule="atLeast"/>
      <w:ind w:firstLine="420"/>
      <w:textAlignment w:val="baseline"/>
    </w:pPr>
    <w:rPr>
      <w:rFonts w:ascii="宋体"/>
      <w:kern w:val="0"/>
      <w:sz w:val="24"/>
      <w:szCs w:val="20"/>
    </w:rPr>
  </w:style>
  <w:style w:type="paragraph" w:styleId="19">
    <w:name w:val="caption"/>
    <w:basedOn w:val="1"/>
    <w:next w:val="1"/>
    <w:link w:val="96"/>
    <w:qFormat/>
    <w:uiPriority w:val="0"/>
    <w:pPr>
      <w:ind w:firstLine="6290" w:firstLineChars="2282"/>
    </w:pPr>
    <w:rPr>
      <w:b/>
      <w:bCs/>
      <w:color w:val="000080"/>
      <w:sz w:val="28"/>
    </w:rPr>
  </w:style>
  <w:style w:type="paragraph" w:styleId="20">
    <w:name w:val="index 5"/>
    <w:basedOn w:val="1"/>
    <w:next w:val="1"/>
    <w:semiHidden/>
    <w:qFormat/>
    <w:uiPriority w:val="0"/>
    <w:pPr>
      <w:spacing w:line="480" w:lineRule="exact"/>
      <w:ind w:left="800" w:leftChars="800" w:firstLine="200" w:firstLineChars="200"/>
      <w:jc w:val="left"/>
    </w:pPr>
    <w:rPr>
      <w:color w:val="7030A0"/>
      <w:sz w:val="24"/>
    </w:rPr>
  </w:style>
  <w:style w:type="paragraph" w:styleId="21">
    <w:name w:val="List Bullet"/>
    <w:basedOn w:val="1"/>
    <w:qFormat/>
    <w:uiPriority w:val="0"/>
    <w:pPr>
      <w:tabs>
        <w:tab w:val="left" w:pos="360"/>
      </w:tabs>
      <w:spacing w:line="360" w:lineRule="auto"/>
      <w:ind w:left="360" w:hanging="360"/>
      <w:jc w:val="left"/>
    </w:pPr>
    <w:rPr>
      <w:rFonts w:ascii="宋体" w:hAnsi="宋体"/>
      <w:color w:val="7030A0"/>
      <w:sz w:val="24"/>
      <w:szCs w:val="20"/>
    </w:rPr>
  </w:style>
  <w:style w:type="paragraph" w:styleId="22">
    <w:name w:val="Document Map"/>
    <w:basedOn w:val="1"/>
    <w:link w:val="97"/>
    <w:semiHidden/>
    <w:qFormat/>
    <w:uiPriority w:val="0"/>
    <w:rPr>
      <w:rFonts w:ascii="宋体"/>
      <w:sz w:val="18"/>
      <w:szCs w:val="18"/>
    </w:rPr>
  </w:style>
  <w:style w:type="paragraph" w:styleId="23">
    <w:name w:val="toa heading"/>
    <w:basedOn w:val="1"/>
    <w:next w:val="1"/>
    <w:semiHidden/>
    <w:qFormat/>
    <w:uiPriority w:val="0"/>
    <w:pPr>
      <w:spacing w:before="120"/>
    </w:pPr>
    <w:rPr>
      <w:rFonts w:ascii="Arial" w:hAnsi="Arial" w:cs="Arial"/>
      <w:sz w:val="24"/>
    </w:rPr>
  </w:style>
  <w:style w:type="paragraph" w:styleId="24">
    <w:name w:val="annotation text"/>
    <w:basedOn w:val="1"/>
    <w:link w:val="98"/>
    <w:semiHidden/>
    <w:qFormat/>
    <w:uiPriority w:val="0"/>
    <w:pPr>
      <w:jc w:val="left"/>
    </w:pPr>
  </w:style>
  <w:style w:type="paragraph" w:styleId="25">
    <w:name w:val="index 6"/>
    <w:basedOn w:val="1"/>
    <w:next w:val="1"/>
    <w:semiHidden/>
    <w:qFormat/>
    <w:uiPriority w:val="0"/>
    <w:pPr>
      <w:spacing w:line="480" w:lineRule="exact"/>
      <w:ind w:left="1000" w:leftChars="1000" w:firstLine="200" w:firstLineChars="200"/>
      <w:jc w:val="left"/>
    </w:pPr>
    <w:rPr>
      <w:color w:val="7030A0"/>
      <w:sz w:val="24"/>
    </w:rPr>
  </w:style>
  <w:style w:type="paragraph" w:styleId="26">
    <w:name w:val="Salutation"/>
    <w:basedOn w:val="1"/>
    <w:next w:val="1"/>
    <w:link w:val="99"/>
    <w:qFormat/>
    <w:uiPriority w:val="0"/>
    <w:rPr>
      <w:sz w:val="24"/>
      <w:szCs w:val="20"/>
    </w:rPr>
  </w:style>
  <w:style w:type="paragraph" w:styleId="27">
    <w:name w:val="Body Text 3"/>
    <w:basedOn w:val="1"/>
    <w:link w:val="100"/>
    <w:qFormat/>
    <w:uiPriority w:val="0"/>
    <w:pPr>
      <w:spacing w:after="120"/>
    </w:pPr>
    <w:rPr>
      <w:sz w:val="16"/>
      <w:szCs w:val="16"/>
    </w:rPr>
  </w:style>
  <w:style w:type="paragraph" w:styleId="28">
    <w:name w:val="List Bullet 3"/>
    <w:basedOn w:val="1"/>
    <w:qFormat/>
    <w:uiPriority w:val="0"/>
    <w:pPr>
      <w:tabs>
        <w:tab w:val="left" w:pos="775"/>
      </w:tabs>
      <w:spacing w:line="360" w:lineRule="auto"/>
      <w:ind w:left="775" w:hanging="360"/>
    </w:pPr>
    <w:rPr>
      <w:kern w:val="0"/>
    </w:rPr>
  </w:style>
  <w:style w:type="paragraph" w:styleId="29">
    <w:name w:val="Body Text"/>
    <w:basedOn w:val="1"/>
    <w:next w:val="30"/>
    <w:link w:val="101"/>
    <w:qFormat/>
    <w:uiPriority w:val="0"/>
    <w:pPr>
      <w:spacing w:line="360" w:lineRule="auto"/>
    </w:pPr>
    <w:rPr>
      <w:sz w:val="24"/>
      <w:szCs w:val="20"/>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1">
    <w:name w:val="Body Text Indent"/>
    <w:basedOn w:val="1"/>
    <w:link w:val="102"/>
    <w:qFormat/>
    <w:uiPriority w:val="0"/>
    <w:pPr>
      <w:spacing w:line="360" w:lineRule="auto"/>
    </w:pPr>
    <w:rPr>
      <w:rFonts w:ascii="宋体"/>
      <w:szCs w:val="20"/>
    </w:rPr>
  </w:style>
  <w:style w:type="paragraph" w:styleId="32">
    <w:name w:val="List Number 3"/>
    <w:basedOn w:val="1"/>
    <w:qFormat/>
    <w:uiPriority w:val="0"/>
    <w:pPr>
      <w:tabs>
        <w:tab w:val="left" w:pos="1200"/>
      </w:tabs>
      <w:spacing w:line="360" w:lineRule="auto"/>
      <w:ind w:left="1200" w:hanging="360"/>
      <w:jc w:val="left"/>
    </w:pPr>
    <w:rPr>
      <w:rFonts w:ascii="宋体" w:hAnsi="宋体"/>
      <w:color w:val="7030A0"/>
      <w:sz w:val="24"/>
      <w:szCs w:val="20"/>
    </w:rPr>
  </w:style>
  <w:style w:type="paragraph" w:styleId="33">
    <w:name w:val="List 2"/>
    <w:basedOn w:val="1"/>
    <w:qFormat/>
    <w:uiPriority w:val="0"/>
    <w:pPr>
      <w:widowControl/>
      <w:ind w:left="840" w:hanging="420"/>
      <w:jc w:val="left"/>
    </w:pPr>
    <w:rPr>
      <w:rFonts w:ascii="宋体"/>
      <w:kern w:val="0"/>
      <w:sz w:val="22"/>
      <w:szCs w:val="20"/>
    </w:rPr>
  </w:style>
  <w:style w:type="paragraph" w:styleId="34">
    <w:name w:val="List Continue"/>
    <w:basedOn w:val="1"/>
    <w:qFormat/>
    <w:uiPriority w:val="0"/>
    <w:pPr>
      <w:widowControl/>
      <w:spacing w:after="120"/>
      <w:ind w:left="420"/>
      <w:jc w:val="left"/>
    </w:pPr>
    <w:rPr>
      <w:rFonts w:ascii="宋体"/>
      <w:kern w:val="0"/>
      <w:sz w:val="22"/>
      <w:szCs w:val="20"/>
    </w:rPr>
  </w:style>
  <w:style w:type="paragraph" w:styleId="35">
    <w:name w:val="Block Text"/>
    <w:basedOn w:val="1"/>
    <w:qFormat/>
    <w:uiPriority w:val="0"/>
    <w:pPr>
      <w:tabs>
        <w:tab w:val="left" w:pos="8364"/>
      </w:tabs>
      <w:ind w:left="840" w:right="-57" w:hanging="300"/>
    </w:pPr>
    <w:rPr>
      <w:rFonts w:ascii="宋体"/>
      <w:szCs w:val="20"/>
    </w:rPr>
  </w:style>
  <w:style w:type="paragraph" w:styleId="36">
    <w:name w:val="List Bullet 2"/>
    <w:basedOn w:val="1"/>
    <w:qFormat/>
    <w:uiPriority w:val="0"/>
    <w:pPr>
      <w:tabs>
        <w:tab w:val="left" w:pos="780"/>
      </w:tabs>
      <w:spacing w:line="360" w:lineRule="auto"/>
      <w:ind w:left="780" w:hanging="360"/>
      <w:jc w:val="left"/>
    </w:pPr>
    <w:rPr>
      <w:rFonts w:ascii="宋体" w:hAnsi="宋体"/>
      <w:color w:val="7030A0"/>
      <w:sz w:val="24"/>
      <w:szCs w:val="20"/>
    </w:rPr>
  </w:style>
  <w:style w:type="paragraph" w:styleId="37">
    <w:name w:val="index 4"/>
    <w:basedOn w:val="1"/>
    <w:next w:val="1"/>
    <w:semiHidden/>
    <w:qFormat/>
    <w:uiPriority w:val="0"/>
    <w:pPr>
      <w:spacing w:line="480" w:lineRule="exact"/>
      <w:ind w:left="600" w:leftChars="600" w:firstLine="200" w:firstLineChars="200"/>
      <w:jc w:val="left"/>
    </w:pPr>
    <w:rPr>
      <w:color w:val="7030A0"/>
      <w:sz w:val="24"/>
    </w:rPr>
  </w:style>
  <w:style w:type="paragraph" w:styleId="38">
    <w:name w:val="toc 5"/>
    <w:basedOn w:val="1"/>
    <w:next w:val="1"/>
    <w:semiHidden/>
    <w:qFormat/>
    <w:uiPriority w:val="0"/>
    <w:pPr>
      <w:ind w:left="840"/>
      <w:jc w:val="left"/>
    </w:pPr>
    <w:rPr>
      <w:sz w:val="18"/>
      <w:szCs w:val="18"/>
    </w:rPr>
  </w:style>
  <w:style w:type="paragraph" w:styleId="39">
    <w:name w:val="toc 3"/>
    <w:basedOn w:val="1"/>
    <w:next w:val="1"/>
    <w:semiHidden/>
    <w:qFormat/>
    <w:uiPriority w:val="0"/>
    <w:pPr>
      <w:tabs>
        <w:tab w:val="left" w:pos="400"/>
        <w:tab w:val="left" w:pos="576"/>
        <w:tab w:val="right" w:leader="dot" w:pos="8778"/>
      </w:tabs>
      <w:ind w:left="10"/>
      <w:jc w:val="center"/>
    </w:pPr>
    <w:rPr>
      <w:rFonts w:ascii="宋体" w:hAnsi="宋体"/>
      <w:b/>
      <w:iCs/>
      <w:sz w:val="24"/>
    </w:rPr>
  </w:style>
  <w:style w:type="paragraph" w:styleId="40">
    <w:name w:val="Plain Text"/>
    <w:basedOn w:val="1"/>
    <w:link w:val="103"/>
    <w:qFormat/>
    <w:uiPriority w:val="0"/>
    <w:rPr>
      <w:rFonts w:ascii="宋体" w:hAnsi="Courier New" w:cs="Courier New"/>
      <w:szCs w:val="21"/>
    </w:rPr>
  </w:style>
  <w:style w:type="paragraph" w:styleId="41">
    <w:name w:val="List Bullet 5"/>
    <w:basedOn w:val="1"/>
    <w:qFormat/>
    <w:uiPriority w:val="0"/>
    <w:pPr>
      <w:tabs>
        <w:tab w:val="left" w:pos="2040"/>
      </w:tabs>
      <w:spacing w:line="360" w:lineRule="auto"/>
      <w:ind w:left="2040" w:hanging="360"/>
      <w:jc w:val="left"/>
    </w:pPr>
    <w:rPr>
      <w:rFonts w:ascii="宋体" w:hAnsi="宋体"/>
      <w:color w:val="7030A0"/>
      <w:sz w:val="24"/>
      <w:szCs w:val="20"/>
    </w:rPr>
  </w:style>
  <w:style w:type="paragraph" w:styleId="42">
    <w:name w:val="List Number 4"/>
    <w:basedOn w:val="1"/>
    <w:qFormat/>
    <w:uiPriority w:val="0"/>
    <w:pPr>
      <w:tabs>
        <w:tab w:val="left" w:pos="1620"/>
      </w:tabs>
      <w:spacing w:line="360" w:lineRule="auto"/>
      <w:ind w:left="1620" w:hanging="360"/>
    </w:pPr>
    <w:rPr>
      <w:rFonts w:ascii="宋体" w:hAnsi="宋体"/>
      <w:sz w:val="24"/>
      <w:szCs w:val="20"/>
    </w:rPr>
  </w:style>
  <w:style w:type="paragraph" w:styleId="43">
    <w:name w:val="toc 8"/>
    <w:basedOn w:val="1"/>
    <w:next w:val="1"/>
    <w:semiHidden/>
    <w:qFormat/>
    <w:uiPriority w:val="0"/>
    <w:pPr>
      <w:ind w:left="1470"/>
      <w:jc w:val="left"/>
    </w:pPr>
    <w:rPr>
      <w:sz w:val="18"/>
      <w:szCs w:val="18"/>
    </w:rPr>
  </w:style>
  <w:style w:type="paragraph" w:styleId="44">
    <w:name w:val="index 3"/>
    <w:basedOn w:val="1"/>
    <w:next w:val="1"/>
    <w:semiHidden/>
    <w:qFormat/>
    <w:uiPriority w:val="0"/>
    <w:pPr>
      <w:spacing w:line="480" w:lineRule="exact"/>
      <w:ind w:left="400" w:leftChars="400" w:firstLine="200" w:firstLineChars="200"/>
      <w:jc w:val="left"/>
    </w:pPr>
    <w:rPr>
      <w:color w:val="7030A0"/>
      <w:sz w:val="24"/>
    </w:rPr>
  </w:style>
  <w:style w:type="paragraph" w:styleId="45">
    <w:name w:val="Date"/>
    <w:basedOn w:val="1"/>
    <w:next w:val="1"/>
    <w:link w:val="104"/>
    <w:qFormat/>
    <w:uiPriority w:val="0"/>
    <w:pPr>
      <w:autoSpaceDE w:val="0"/>
      <w:autoSpaceDN w:val="0"/>
      <w:adjustRightInd w:val="0"/>
      <w:textAlignment w:val="baseline"/>
    </w:pPr>
    <w:rPr>
      <w:rFonts w:eastAsia="楷体_GB2312"/>
      <w:sz w:val="30"/>
      <w:szCs w:val="20"/>
    </w:rPr>
  </w:style>
  <w:style w:type="paragraph" w:styleId="46">
    <w:name w:val="Body Text Indent 2"/>
    <w:basedOn w:val="1"/>
    <w:link w:val="105"/>
    <w:qFormat/>
    <w:uiPriority w:val="0"/>
    <w:pPr>
      <w:spacing w:after="120" w:line="480" w:lineRule="auto"/>
      <w:ind w:left="420" w:leftChars="200"/>
    </w:pPr>
    <w:rPr>
      <w:szCs w:val="20"/>
    </w:rPr>
  </w:style>
  <w:style w:type="paragraph" w:styleId="47">
    <w:name w:val="endnote text"/>
    <w:basedOn w:val="1"/>
    <w:link w:val="106"/>
    <w:semiHidden/>
    <w:qFormat/>
    <w:uiPriority w:val="0"/>
    <w:pPr>
      <w:snapToGrid w:val="0"/>
      <w:spacing w:line="500" w:lineRule="exact"/>
      <w:jc w:val="left"/>
    </w:pPr>
    <w:rPr>
      <w:kern w:val="0"/>
    </w:rPr>
  </w:style>
  <w:style w:type="paragraph" w:styleId="48">
    <w:name w:val="Balloon Text"/>
    <w:basedOn w:val="1"/>
    <w:link w:val="107"/>
    <w:semiHidden/>
    <w:qFormat/>
    <w:uiPriority w:val="0"/>
    <w:rPr>
      <w:sz w:val="18"/>
      <w:szCs w:val="18"/>
    </w:rPr>
  </w:style>
  <w:style w:type="paragraph" w:styleId="49">
    <w:name w:val="footer"/>
    <w:basedOn w:val="1"/>
    <w:link w:val="108"/>
    <w:qFormat/>
    <w:uiPriority w:val="0"/>
    <w:pPr>
      <w:tabs>
        <w:tab w:val="center" w:pos="4153"/>
        <w:tab w:val="right" w:pos="8306"/>
      </w:tabs>
      <w:snapToGrid w:val="0"/>
      <w:jc w:val="left"/>
    </w:pPr>
    <w:rPr>
      <w:sz w:val="18"/>
      <w:szCs w:val="18"/>
    </w:rPr>
  </w:style>
  <w:style w:type="paragraph" w:styleId="50">
    <w:name w:val="header"/>
    <w:basedOn w:val="1"/>
    <w:link w:val="109"/>
    <w:qFormat/>
    <w:uiPriority w:val="0"/>
    <w:pPr>
      <w:pBdr>
        <w:bottom w:val="single" w:color="auto" w:sz="6" w:space="1"/>
      </w:pBdr>
      <w:tabs>
        <w:tab w:val="center" w:pos="4153"/>
        <w:tab w:val="right" w:pos="8306"/>
      </w:tabs>
      <w:snapToGrid w:val="0"/>
      <w:jc w:val="center"/>
    </w:pPr>
    <w:rPr>
      <w:sz w:val="18"/>
      <w:szCs w:val="18"/>
    </w:rPr>
  </w:style>
  <w:style w:type="paragraph" w:styleId="51">
    <w:name w:val="toc 1"/>
    <w:basedOn w:val="1"/>
    <w:next w:val="1"/>
    <w:semiHidden/>
    <w:qFormat/>
    <w:uiPriority w:val="0"/>
    <w:pPr>
      <w:tabs>
        <w:tab w:val="right" w:leader="dot" w:pos="8778"/>
      </w:tabs>
      <w:snapToGrid w:val="0"/>
      <w:spacing w:line="360" w:lineRule="auto"/>
      <w:jc w:val="center"/>
    </w:pPr>
    <w:rPr>
      <w:b/>
      <w:bCs/>
      <w:iCs/>
      <w:caps/>
      <w:kern w:val="0"/>
      <w:sz w:val="36"/>
      <w:szCs w:val="36"/>
    </w:rPr>
  </w:style>
  <w:style w:type="paragraph" w:styleId="52">
    <w:name w:val="toc 4"/>
    <w:basedOn w:val="1"/>
    <w:next w:val="1"/>
    <w:semiHidden/>
    <w:qFormat/>
    <w:uiPriority w:val="0"/>
    <w:pPr>
      <w:ind w:left="630"/>
      <w:jc w:val="left"/>
    </w:pPr>
    <w:rPr>
      <w:sz w:val="18"/>
      <w:szCs w:val="18"/>
    </w:rPr>
  </w:style>
  <w:style w:type="paragraph" w:styleId="53">
    <w:name w:val="index heading"/>
    <w:basedOn w:val="1"/>
    <w:next w:val="54"/>
    <w:semiHidden/>
    <w:qFormat/>
    <w:uiPriority w:val="0"/>
  </w:style>
  <w:style w:type="paragraph" w:styleId="54">
    <w:name w:val="index 1"/>
    <w:basedOn w:val="1"/>
    <w:next w:val="1"/>
    <w:semiHidden/>
    <w:qFormat/>
    <w:uiPriority w:val="0"/>
    <w:pPr>
      <w:spacing w:line="360" w:lineRule="auto"/>
      <w:ind w:left="1149" w:leftChars="547"/>
    </w:pPr>
    <w:rPr>
      <w:szCs w:val="20"/>
    </w:rPr>
  </w:style>
  <w:style w:type="paragraph" w:styleId="55">
    <w:name w:val="List Number 5"/>
    <w:basedOn w:val="1"/>
    <w:qFormat/>
    <w:uiPriority w:val="0"/>
    <w:pPr>
      <w:tabs>
        <w:tab w:val="left" w:pos="2040"/>
      </w:tabs>
      <w:spacing w:line="360" w:lineRule="auto"/>
      <w:ind w:left="2040" w:hanging="360"/>
      <w:jc w:val="left"/>
    </w:pPr>
    <w:rPr>
      <w:rFonts w:ascii="宋体" w:hAnsi="宋体"/>
      <w:color w:val="7030A0"/>
      <w:sz w:val="24"/>
      <w:szCs w:val="20"/>
    </w:rPr>
  </w:style>
  <w:style w:type="paragraph" w:styleId="56">
    <w:name w:val="List"/>
    <w:basedOn w:val="1"/>
    <w:qFormat/>
    <w:uiPriority w:val="0"/>
    <w:pPr>
      <w:ind w:left="200" w:hanging="200" w:hangingChars="200"/>
    </w:pPr>
    <w:rPr>
      <w:szCs w:val="20"/>
    </w:rPr>
  </w:style>
  <w:style w:type="paragraph" w:styleId="57">
    <w:name w:val="footnote text"/>
    <w:basedOn w:val="1"/>
    <w:link w:val="110"/>
    <w:semiHidden/>
    <w:qFormat/>
    <w:uiPriority w:val="0"/>
    <w:pPr>
      <w:adjustRightInd w:val="0"/>
      <w:spacing w:line="312" w:lineRule="atLeast"/>
      <w:jc w:val="left"/>
      <w:textAlignment w:val="baseline"/>
    </w:pPr>
    <w:rPr>
      <w:kern w:val="0"/>
      <w:sz w:val="18"/>
      <w:szCs w:val="20"/>
    </w:rPr>
  </w:style>
  <w:style w:type="paragraph" w:styleId="58">
    <w:name w:val="toc 6"/>
    <w:basedOn w:val="1"/>
    <w:next w:val="1"/>
    <w:semiHidden/>
    <w:qFormat/>
    <w:uiPriority w:val="0"/>
    <w:pPr>
      <w:ind w:left="1050"/>
      <w:jc w:val="left"/>
    </w:pPr>
    <w:rPr>
      <w:sz w:val="18"/>
      <w:szCs w:val="18"/>
    </w:rPr>
  </w:style>
  <w:style w:type="paragraph" w:styleId="59">
    <w:name w:val="Body Text Indent 3"/>
    <w:basedOn w:val="1"/>
    <w:link w:val="111"/>
    <w:qFormat/>
    <w:uiPriority w:val="0"/>
    <w:pPr>
      <w:ind w:left="1260" w:leftChars="600"/>
    </w:pPr>
    <w:rPr>
      <w:szCs w:val="20"/>
    </w:rPr>
  </w:style>
  <w:style w:type="paragraph" w:styleId="60">
    <w:name w:val="index 7"/>
    <w:basedOn w:val="1"/>
    <w:next w:val="1"/>
    <w:semiHidden/>
    <w:qFormat/>
    <w:uiPriority w:val="0"/>
    <w:pPr>
      <w:spacing w:line="480" w:lineRule="exact"/>
      <w:ind w:left="1200" w:leftChars="1200" w:firstLine="200" w:firstLineChars="200"/>
      <w:jc w:val="left"/>
    </w:pPr>
    <w:rPr>
      <w:color w:val="7030A0"/>
      <w:sz w:val="24"/>
    </w:rPr>
  </w:style>
  <w:style w:type="paragraph" w:styleId="61">
    <w:name w:val="index 9"/>
    <w:basedOn w:val="1"/>
    <w:next w:val="1"/>
    <w:semiHidden/>
    <w:qFormat/>
    <w:uiPriority w:val="0"/>
    <w:pPr>
      <w:spacing w:line="480" w:lineRule="exact"/>
      <w:ind w:left="1600" w:leftChars="1600" w:firstLine="200" w:firstLineChars="200"/>
      <w:jc w:val="left"/>
    </w:pPr>
    <w:rPr>
      <w:color w:val="7030A0"/>
      <w:sz w:val="24"/>
    </w:rPr>
  </w:style>
  <w:style w:type="paragraph" w:styleId="62">
    <w:name w:val="table of figures"/>
    <w:basedOn w:val="1"/>
    <w:next w:val="1"/>
    <w:semiHidden/>
    <w:qFormat/>
    <w:uiPriority w:val="0"/>
    <w:pPr>
      <w:spacing w:line="480" w:lineRule="exact"/>
      <w:ind w:left="200" w:leftChars="200" w:hanging="200" w:hangingChars="200"/>
      <w:jc w:val="left"/>
    </w:pPr>
    <w:rPr>
      <w:color w:val="7030A0"/>
      <w:sz w:val="24"/>
    </w:rPr>
  </w:style>
  <w:style w:type="paragraph" w:styleId="63">
    <w:name w:val="toc 2"/>
    <w:basedOn w:val="1"/>
    <w:next w:val="1"/>
    <w:semiHidden/>
    <w:qFormat/>
    <w:uiPriority w:val="0"/>
    <w:pPr>
      <w:tabs>
        <w:tab w:val="right" w:leader="dot" w:pos="8778"/>
      </w:tabs>
      <w:ind w:left="23" w:leftChars="9" w:hanging="4" w:hangingChars="2"/>
      <w:jc w:val="left"/>
    </w:pPr>
    <w:rPr>
      <w:smallCaps/>
      <w:sz w:val="20"/>
      <w:szCs w:val="20"/>
    </w:rPr>
  </w:style>
  <w:style w:type="paragraph" w:styleId="64">
    <w:name w:val="toc 9"/>
    <w:basedOn w:val="1"/>
    <w:next w:val="1"/>
    <w:semiHidden/>
    <w:qFormat/>
    <w:uiPriority w:val="0"/>
    <w:pPr>
      <w:ind w:left="1680"/>
      <w:jc w:val="left"/>
    </w:pPr>
    <w:rPr>
      <w:sz w:val="18"/>
      <w:szCs w:val="18"/>
    </w:rPr>
  </w:style>
  <w:style w:type="paragraph" w:styleId="65">
    <w:name w:val="Body Text 2"/>
    <w:basedOn w:val="1"/>
    <w:link w:val="112"/>
    <w:qFormat/>
    <w:uiPriority w:val="0"/>
    <w:pPr>
      <w:spacing w:after="120" w:line="480" w:lineRule="auto"/>
    </w:pPr>
    <w:rPr>
      <w:szCs w:val="20"/>
    </w:rPr>
  </w:style>
  <w:style w:type="paragraph" w:styleId="66">
    <w:name w:val="Message Header"/>
    <w:basedOn w:val="1"/>
    <w:link w:val="11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cs="Arial"/>
      <w:color w:val="7030A0"/>
      <w:sz w:val="24"/>
    </w:rPr>
  </w:style>
  <w:style w:type="paragraph" w:styleId="67">
    <w:name w:val="HTML Preformatted"/>
    <w:basedOn w:val="1"/>
    <w:link w:val="1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200" w:firstLineChars="200"/>
      <w:jc w:val="left"/>
    </w:pPr>
    <w:rPr>
      <w:rFonts w:ascii="Arial" w:hAnsi="Arial"/>
      <w:kern w:val="0"/>
      <w:szCs w:val="21"/>
    </w:rPr>
  </w:style>
  <w:style w:type="paragraph" w:styleId="68">
    <w:name w:val="Normal (Web)"/>
    <w:basedOn w:val="1"/>
    <w:qFormat/>
    <w:uiPriority w:val="0"/>
    <w:pPr>
      <w:widowControl/>
      <w:spacing w:before="100" w:beforeAutospacing="1" w:after="100" w:afterAutospacing="1"/>
      <w:jc w:val="left"/>
    </w:pPr>
    <w:rPr>
      <w:rFonts w:ascii="Arial Unicode MS" w:hAnsi="Arial Unicode MS" w:eastAsia="Times New Roman" w:cs="Arial Unicode MS"/>
      <w:kern w:val="0"/>
      <w:sz w:val="24"/>
    </w:rPr>
  </w:style>
  <w:style w:type="paragraph" w:styleId="69">
    <w:name w:val="index 2"/>
    <w:basedOn w:val="1"/>
    <w:next w:val="1"/>
    <w:semiHidden/>
    <w:qFormat/>
    <w:uiPriority w:val="0"/>
    <w:pPr>
      <w:spacing w:line="480" w:lineRule="exact"/>
      <w:ind w:left="200" w:leftChars="200" w:firstLine="200" w:firstLineChars="200"/>
      <w:jc w:val="left"/>
    </w:pPr>
    <w:rPr>
      <w:color w:val="7030A0"/>
      <w:sz w:val="24"/>
    </w:rPr>
  </w:style>
  <w:style w:type="paragraph" w:styleId="70">
    <w:name w:val="Title"/>
    <w:basedOn w:val="1"/>
    <w:link w:val="115"/>
    <w:qFormat/>
    <w:uiPriority w:val="0"/>
    <w:pPr>
      <w:widowControl/>
      <w:spacing w:before="240" w:after="60"/>
      <w:jc w:val="center"/>
      <w:outlineLvl w:val="0"/>
    </w:pPr>
    <w:rPr>
      <w:rFonts w:ascii="Arial" w:hAnsi="Arial" w:eastAsia="楷体_GB2312"/>
      <w:b/>
      <w:kern w:val="0"/>
      <w:sz w:val="32"/>
      <w:szCs w:val="20"/>
    </w:rPr>
  </w:style>
  <w:style w:type="paragraph" w:styleId="71">
    <w:name w:val="annotation subject"/>
    <w:basedOn w:val="24"/>
    <w:next w:val="24"/>
    <w:link w:val="116"/>
    <w:semiHidden/>
    <w:qFormat/>
    <w:uiPriority w:val="0"/>
    <w:rPr>
      <w:b/>
      <w:bCs/>
    </w:rPr>
  </w:style>
  <w:style w:type="paragraph" w:styleId="72">
    <w:name w:val="Body Text First Indent"/>
    <w:basedOn w:val="1"/>
    <w:link w:val="117"/>
    <w:qFormat/>
    <w:uiPriority w:val="0"/>
    <w:pPr>
      <w:tabs>
        <w:tab w:val="left" w:pos="360"/>
      </w:tabs>
      <w:spacing w:line="220" w:lineRule="exact"/>
      <w:ind w:left="360" w:hanging="360" w:firstLineChars="200"/>
      <w:jc w:val="left"/>
    </w:pPr>
    <w:rPr>
      <w:color w:val="7030A0"/>
    </w:rPr>
  </w:style>
  <w:style w:type="paragraph" w:styleId="73">
    <w:name w:val="Body Text First Indent 2"/>
    <w:basedOn w:val="31"/>
    <w:link w:val="118"/>
    <w:qFormat/>
    <w:uiPriority w:val="0"/>
    <w:pPr>
      <w:spacing w:after="120" w:line="240" w:lineRule="auto"/>
      <w:ind w:left="420" w:leftChars="200" w:firstLine="200" w:firstLineChars="200"/>
      <w:jc w:val="left"/>
    </w:pPr>
    <w:rPr>
      <w:rFonts w:hAnsi="宋体"/>
      <w:szCs w:val="24"/>
    </w:rPr>
  </w:style>
  <w:style w:type="table" w:styleId="75">
    <w:name w:val="Table Grid"/>
    <w:basedOn w:val="7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7">
    <w:name w:val="Strong"/>
    <w:qFormat/>
    <w:uiPriority w:val="0"/>
    <w:rPr>
      <w:b/>
    </w:rPr>
  </w:style>
  <w:style w:type="character" w:styleId="78">
    <w:name w:val="endnote reference"/>
    <w:semiHidden/>
    <w:qFormat/>
    <w:uiPriority w:val="0"/>
    <w:rPr>
      <w:vertAlign w:val="superscript"/>
    </w:rPr>
  </w:style>
  <w:style w:type="character" w:styleId="79">
    <w:name w:val="page number"/>
    <w:qFormat/>
    <w:uiPriority w:val="0"/>
    <w:rPr>
      <w:rFonts w:cs="Times New Roman"/>
    </w:rPr>
  </w:style>
  <w:style w:type="character" w:styleId="80">
    <w:name w:val="FollowedHyperlink"/>
    <w:qFormat/>
    <w:uiPriority w:val="0"/>
    <w:rPr>
      <w:rFonts w:cs="Times New Roman"/>
      <w:color w:val="800080"/>
      <w:u w:val="single"/>
    </w:rPr>
  </w:style>
  <w:style w:type="character" w:styleId="81">
    <w:name w:val="HTML Typewriter"/>
    <w:qFormat/>
    <w:uiPriority w:val="0"/>
    <w:rPr>
      <w:rFonts w:ascii="黑体" w:hAnsi="Courier New" w:eastAsia="黑体"/>
      <w:sz w:val="20"/>
    </w:rPr>
  </w:style>
  <w:style w:type="character" w:styleId="82">
    <w:name w:val="Hyperlink"/>
    <w:qFormat/>
    <w:uiPriority w:val="0"/>
    <w:rPr>
      <w:rFonts w:cs="Times New Roman"/>
      <w:color w:val="0000FF"/>
      <w:u w:val="single"/>
    </w:rPr>
  </w:style>
  <w:style w:type="character" w:styleId="83">
    <w:name w:val="annotation reference"/>
    <w:semiHidden/>
    <w:qFormat/>
    <w:uiPriority w:val="0"/>
    <w:rPr>
      <w:rFonts w:cs="Times New Roman"/>
      <w:sz w:val="21"/>
      <w:szCs w:val="21"/>
    </w:rPr>
  </w:style>
  <w:style w:type="character" w:styleId="84">
    <w:name w:val="footnote reference"/>
    <w:semiHidden/>
    <w:qFormat/>
    <w:uiPriority w:val="0"/>
    <w:rPr>
      <w:vertAlign w:val="superscript"/>
    </w:rPr>
  </w:style>
  <w:style w:type="character" w:customStyle="1" w:styleId="85">
    <w:name w:val="标题 4 Char"/>
    <w:link w:val="2"/>
    <w:qFormat/>
    <w:locked/>
    <w:uiPriority w:val="0"/>
    <w:rPr>
      <w:rFonts w:ascii="Cambria" w:hAnsi="Cambria" w:eastAsia="宋体" w:cs="Times New Roman"/>
      <w:b/>
      <w:bCs/>
      <w:kern w:val="2"/>
      <w:sz w:val="28"/>
      <w:szCs w:val="28"/>
    </w:rPr>
  </w:style>
  <w:style w:type="character" w:customStyle="1" w:styleId="86">
    <w:name w:val="宏文本 Char"/>
    <w:link w:val="3"/>
    <w:semiHidden/>
    <w:qFormat/>
    <w:locked/>
    <w:uiPriority w:val="0"/>
    <w:rPr>
      <w:rFonts w:ascii="Courier New" w:hAnsi="Courier New" w:eastAsia="宋体" w:cs="Courier New"/>
      <w:kern w:val="2"/>
      <w:sz w:val="24"/>
      <w:szCs w:val="24"/>
      <w:lang w:val="en-US" w:eastAsia="zh-CN" w:bidi="ar-SA"/>
    </w:rPr>
  </w:style>
  <w:style w:type="character" w:customStyle="1" w:styleId="87">
    <w:name w:val="标题 1 Char"/>
    <w:link w:val="4"/>
    <w:qFormat/>
    <w:locked/>
    <w:uiPriority w:val="0"/>
    <w:rPr>
      <w:rFonts w:ascii="Times New Roman" w:hAnsi="Times New Roman" w:cs="Times New Roman"/>
      <w:b/>
      <w:bCs/>
      <w:kern w:val="44"/>
      <w:sz w:val="44"/>
      <w:szCs w:val="44"/>
    </w:rPr>
  </w:style>
  <w:style w:type="character" w:customStyle="1" w:styleId="88">
    <w:name w:val="标题 2 Char"/>
    <w:link w:val="5"/>
    <w:qFormat/>
    <w:locked/>
    <w:uiPriority w:val="0"/>
    <w:rPr>
      <w:rFonts w:ascii="Arial" w:hAnsi="Arial" w:eastAsia="黑体" w:cs="Times New Roman"/>
      <w:b/>
      <w:bCs/>
      <w:kern w:val="2"/>
      <w:sz w:val="32"/>
      <w:szCs w:val="32"/>
    </w:rPr>
  </w:style>
  <w:style w:type="character" w:customStyle="1" w:styleId="89">
    <w:name w:val="标题 3 Char"/>
    <w:link w:val="6"/>
    <w:qFormat/>
    <w:locked/>
    <w:uiPriority w:val="0"/>
    <w:rPr>
      <w:rFonts w:ascii="Times New Roman" w:hAnsi="Times New Roman" w:cs="Times New Roman"/>
      <w:b/>
      <w:bCs/>
      <w:kern w:val="2"/>
      <w:sz w:val="32"/>
      <w:szCs w:val="32"/>
    </w:rPr>
  </w:style>
  <w:style w:type="character" w:customStyle="1" w:styleId="90">
    <w:name w:val="标题 5 Char"/>
    <w:link w:val="7"/>
    <w:semiHidden/>
    <w:qFormat/>
    <w:locked/>
    <w:uiPriority w:val="0"/>
    <w:rPr>
      <w:rFonts w:ascii="Times New Roman" w:hAnsi="Times New Roman" w:cs="Times New Roman"/>
      <w:b/>
      <w:bCs/>
      <w:kern w:val="2"/>
      <w:sz w:val="28"/>
      <w:szCs w:val="28"/>
    </w:rPr>
  </w:style>
  <w:style w:type="character" w:customStyle="1" w:styleId="91">
    <w:name w:val="标题 6 Char"/>
    <w:link w:val="8"/>
    <w:qFormat/>
    <w:locked/>
    <w:uiPriority w:val="0"/>
    <w:rPr>
      <w:rFonts w:ascii="Arial" w:hAnsi="Arial" w:eastAsia="黑体" w:cs="Times New Roman"/>
      <w:b/>
      <w:kern w:val="2"/>
      <w:sz w:val="24"/>
    </w:rPr>
  </w:style>
  <w:style w:type="character" w:customStyle="1" w:styleId="92">
    <w:name w:val="标题 7 Char"/>
    <w:link w:val="9"/>
    <w:qFormat/>
    <w:locked/>
    <w:uiPriority w:val="0"/>
    <w:rPr>
      <w:rFonts w:ascii="Times New Roman" w:hAnsi="Times New Roman" w:cs="Times New Roman"/>
      <w:b/>
      <w:kern w:val="2"/>
      <w:sz w:val="24"/>
    </w:rPr>
  </w:style>
  <w:style w:type="character" w:customStyle="1" w:styleId="93">
    <w:name w:val="标题 8 Char"/>
    <w:link w:val="10"/>
    <w:qFormat/>
    <w:locked/>
    <w:uiPriority w:val="0"/>
    <w:rPr>
      <w:rFonts w:ascii="Arial" w:hAnsi="Arial" w:eastAsia="黑体" w:cs="Times New Roman"/>
      <w:kern w:val="2"/>
      <w:sz w:val="24"/>
    </w:rPr>
  </w:style>
  <w:style w:type="character" w:customStyle="1" w:styleId="94">
    <w:name w:val="标题 9 Char"/>
    <w:link w:val="11"/>
    <w:qFormat/>
    <w:locked/>
    <w:uiPriority w:val="0"/>
    <w:rPr>
      <w:rFonts w:ascii="Arial" w:hAnsi="Arial" w:eastAsia="黑体" w:cs="Times New Roman"/>
      <w:kern w:val="2"/>
      <w:sz w:val="21"/>
    </w:rPr>
  </w:style>
  <w:style w:type="character" w:customStyle="1" w:styleId="95">
    <w:name w:val="正文缩进 Char"/>
    <w:link w:val="18"/>
    <w:qFormat/>
    <w:locked/>
    <w:uiPriority w:val="0"/>
    <w:rPr>
      <w:rFonts w:ascii="宋体" w:hAnsi="Times New Roman"/>
      <w:sz w:val="24"/>
    </w:rPr>
  </w:style>
  <w:style w:type="character" w:customStyle="1" w:styleId="96">
    <w:name w:val="题注 Char"/>
    <w:link w:val="19"/>
    <w:qFormat/>
    <w:locked/>
    <w:uiPriority w:val="0"/>
    <w:rPr>
      <w:rFonts w:ascii="Times New Roman" w:hAnsi="Times New Roman"/>
      <w:b/>
      <w:color w:val="000080"/>
      <w:kern w:val="2"/>
      <w:sz w:val="24"/>
    </w:rPr>
  </w:style>
  <w:style w:type="character" w:customStyle="1" w:styleId="97">
    <w:name w:val="文档结构图 Char"/>
    <w:link w:val="22"/>
    <w:qFormat/>
    <w:locked/>
    <w:uiPriority w:val="0"/>
    <w:rPr>
      <w:rFonts w:ascii="宋体" w:hAnsi="Times New Roman" w:eastAsia="宋体" w:cs="Times New Roman"/>
      <w:sz w:val="18"/>
      <w:szCs w:val="18"/>
    </w:rPr>
  </w:style>
  <w:style w:type="character" w:customStyle="1" w:styleId="98">
    <w:name w:val="批注文字 Char"/>
    <w:link w:val="24"/>
    <w:qFormat/>
    <w:locked/>
    <w:uiPriority w:val="0"/>
    <w:rPr>
      <w:rFonts w:ascii="Times New Roman" w:hAnsi="Times New Roman" w:eastAsia="宋体" w:cs="Times New Roman"/>
      <w:sz w:val="24"/>
      <w:szCs w:val="24"/>
    </w:rPr>
  </w:style>
  <w:style w:type="character" w:customStyle="1" w:styleId="99">
    <w:name w:val="称呼 Char"/>
    <w:link w:val="26"/>
    <w:qFormat/>
    <w:locked/>
    <w:uiPriority w:val="0"/>
    <w:rPr>
      <w:rFonts w:ascii="Times New Roman" w:hAnsi="Times New Roman" w:cs="Times New Roman"/>
      <w:kern w:val="2"/>
      <w:sz w:val="24"/>
    </w:rPr>
  </w:style>
  <w:style w:type="character" w:customStyle="1" w:styleId="100">
    <w:name w:val="正文文本 3 Char"/>
    <w:link w:val="27"/>
    <w:qFormat/>
    <w:locked/>
    <w:uiPriority w:val="0"/>
    <w:rPr>
      <w:rFonts w:ascii="Times New Roman" w:hAnsi="Times New Roman" w:cs="Times New Roman"/>
      <w:kern w:val="2"/>
      <w:sz w:val="16"/>
      <w:szCs w:val="16"/>
    </w:rPr>
  </w:style>
  <w:style w:type="character" w:customStyle="1" w:styleId="101">
    <w:name w:val="正文文本 Char"/>
    <w:link w:val="29"/>
    <w:qFormat/>
    <w:locked/>
    <w:uiPriority w:val="0"/>
    <w:rPr>
      <w:rFonts w:ascii="Times New Roman" w:hAnsi="Times New Roman" w:cs="Times New Roman"/>
      <w:kern w:val="2"/>
      <w:sz w:val="24"/>
      <w:szCs w:val="24"/>
    </w:rPr>
  </w:style>
  <w:style w:type="character" w:customStyle="1" w:styleId="102">
    <w:name w:val="正文文本缩进 Char1"/>
    <w:link w:val="31"/>
    <w:qFormat/>
    <w:locked/>
    <w:uiPriority w:val="0"/>
    <w:rPr>
      <w:rFonts w:ascii="宋体" w:hAnsi="Times New Roman"/>
      <w:kern w:val="2"/>
      <w:sz w:val="21"/>
    </w:rPr>
  </w:style>
  <w:style w:type="character" w:customStyle="1" w:styleId="103">
    <w:name w:val="纯文本 Char"/>
    <w:link w:val="40"/>
    <w:qFormat/>
    <w:locked/>
    <w:uiPriority w:val="0"/>
    <w:rPr>
      <w:rFonts w:ascii="宋体" w:hAnsi="Courier New" w:cs="Courier New"/>
      <w:kern w:val="2"/>
      <w:sz w:val="21"/>
      <w:szCs w:val="21"/>
    </w:rPr>
  </w:style>
  <w:style w:type="character" w:customStyle="1" w:styleId="104">
    <w:name w:val="日期 Char"/>
    <w:link w:val="45"/>
    <w:qFormat/>
    <w:locked/>
    <w:uiPriority w:val="0"/>
    <w:rPr>
      <w:rFonts w:eastAsia="楷体_GB2312"/>
      <w:kern w:val="2"/>
      <w:sz w:val="30"/>
    </w:rPr>
  </w:style>
  <w:style w:type="character" w:customStyle="1" w:styleId="105">
    <w:name w:val="正文文本缩进 2 Char"/>
    <w:link w:val="46"/>
    <w:qFormat/>
    <w:locked/>
    <w:uiPriority w:val="0"/>
    <w:rPr>
      <w:rFonts w:ascii="Times New Roman" w:hAnsi="Times New Roman" w:cs="Times New Roman"/>
      <w:kern w:val="2"/>
      <w:sz w:val="21"/>
    </w:rPr>
  </w:style>
  <w:style w:type="character" w:customStyle="1" w:styleId="106">
    <w:name w:val="尾注文本 Char"/>
    <w:link w:val="47"/>
    <w:qFormat/>
    <w:locked/>
    <w:uiPriority w:val="0"/>
    <w:rPr>
      <w:rFonts w:ascii="Times New Roman" w:hAnsi="Times New Roman" w:cs="Times New Roman"/>
      <w:sz w:val="24"/>
      <w:szCs w:val="24"/>
    </w:rPr>
  </w:style>
  <w:style w:type="character" w:customStyle="1" w:styleId="107">
    <w:name w:val="批注框文本 Char"/>
    <w:link w:val="48"/>
    <w:qFormat/>
    <w:locked/>
    <w:uiPriority w:val="0"/>
    <w:rPr>
      <w:rFonts w:ascii="Times New Roman" w:hAnsi="Times New Roman" w:eastAsia="宋体" w:cs="Times New Roman"/>
      <w:sz w:val="18"/>
      <w:szCs w:val="18"/>
    </w:rPr>
  </w:style>
  <w:style w:type="character" w:customStyle="1" w:styleId="108">
    <w:name w:val="页脚 Char"/>
    <w:link w:val="49"/>
    <w:qFormat/>
    <w:locked/>
    <w:uiPriority w:val="0"/>
    <w:rPr>
      <w:rFonts w:ascii="Times New Roman" w:hAnsi="Times New Roman" w:cs="Times New Roman"/>
      <w:kern w:val="2"/>
      <w:sz w:val="18"/>
      <w:szCs w:val="18"/>
    </w:rPr>
  </w:style>
  <w:style w:type="character" w:customStyle="1" w:styleId="109">
    <w:name w:val="页眉 Char"/>
    <w:link w:val="50"/>
    <w:qFormat/>
    <w:locked/>
    <w:uiPriority w:val="0"/>
    <w:rPr>
      <w:rFonts w:ascii="Times New Roman" w:hAnsi="Times New Roman" w:cs="Times New Roman"/>
      <w:kern w:val="2"/>
      <w:sz w:val="18"/>
      <w:szCs w:val="18"/>
    </w:rPr>
  </w:style>
  <w:style w:type="character" w:customStyle="1" w:styleId="110">
    <w:name w:val="脚注文本 Char"/>
    <w:link w:val="57"/>
    <w:qFormat/>
    <w:locked/>
    <w:uiPriority w:val="0"/>
    <w:rPr>
      <w:rFonts w:ascii="Times New Roman" w:hAnsi="Times New Roman" w:cs="Times New Roman"/>
      <w:sz w:val="18"/>
    </w:rPr>
  </w:style>
  <w:style w:type="character" w:customStyle="1" w:styleId="111">
    <w:name w:val="正文文本缩进 3 Char"/>
    <w:link w:val="59"/>
    <w:qFormat/>
    <w:locked/>
    <w:uiPriority w:val="0"/>
    <w:rPr>
      <w:rFonts w:ascii="Times New Roman" w:hAnsi="Times New Roman" w:cs="Times New Roman"/>
      <w:kern w:val="2"/>
      <w:sz w:val="21"/>
    </w:rPr>
  </w:style>
  <w:style w:type="character" w:customStyle="1" w:styleId="112">
    <w:name w:val="正文文本 2 Char"/>
    <w:link w:val="65"/>
    <w:qFormat/>
    <w:locked/>
    <w:uiPriority w:val="0"/>
    <w:rPr>
      <w:rFonts w:ascii="Times New Roman" w:hAnsi="Times New Roman" w:cs="Times New Roman"/>
      <w:kern w:val="2"/>
      <w:sz w:val="21"/>
    </w:rPr>
  </w:style>
  <w:style w:type="character" w:customStyle="1" w:styleId="113">
    <w:name w:val="信息标题 Char"/>
    <w:link w:val="66"/>
    <w:qFormat/>
    <w:locked/>
    <w:uiPriority w:val="0"/>
    <w:rPr>
      <w:rFonts w:ascii="Arial" w:hAnsi="Arial" w:cs="Arial"/>
      <w:color w:val="7030A0"/>
      <w:kern w:val="2"/>
      <w:sz w:val="24"/>
      <w:szCs w:val="24"/>
      <w:shd w:val="pct20" w:color="auto" w:fill="auto"/>
    </w:rPr>
  </w:style>
  <w:style w:type="character" w:customStyle="1" w:styleId="114">
    <w:name w:val="HTML 预设格式 Char"/>
    <w:link w:val="67"/>
    <w:qFormat/>
    <w:locked/>
    <w:uiPriority w:val="0"/>
    <w:rPr>
      <w:rFonts w:ascii="Arial" w:hAnsi="Arial" w:cs="Times New Roman"/>
      <w:sz w:val="21"/>
      <w:szCs w:val="21"/>
    </w:rPr>
  </w:style>
  <w:style w:type="character" w:customStyle="1" w:styleId="115">
    <w:name w:val="标题 Char"/>
    <w:link w:val="70"/>
    <w:qFormat/>
    <w:locked/>
    <w:uiPriority w:val="0"/>
    <w:rPr>
      <w:rFonts w:ascii="Arial" w:hAnsi="Arial" w:eastAsia="楷体_GB2312" w:cs="Times New Roman"/>
      <w:b/>
      <w:sz w:val="32"/>
    </w:rPr>
  </w:style>
  <w:style w:type="character" w:customStyle="1" w:styleId="116">
    <w:name w:val="批注主题 Char"/>
    <w:link w:val="71"/>
    <w:qFormat/>
    <w:locked/>
    <w:uiPriority w:val="0"/>
    <w:rPr>
      <w:b/>
      <w:bCs/>
      <w:kern w:val="2"/>
    </w:rPr>
  </w:style>
  <w:style w:type="character" w:customStyle="1" w:styleId="117">
    <w:name w:val="正文首行缩进 Char"/>
    <w:link w:val="72"/>
    <w:qFormat/>
    <w:locked/>
    <w:uiPriority w:val="0"/>
    <w:rPr>
      <w:color w:val="7030A0"/>
    </w:rPr>
  </w:style>
  <w:style w:type="character" w:customStyle="1" w:styleId="118">
    <w:name w:val="正文首行缩进 2 Char"/>
    <w:link w:val="73"/>
    <w:qFormat/>
    <w:locked/>
    <w:uiPriority w:val="0"/>
    <w:rPr>
      <w:rFonts w:ascii="宋体" w:eastAsia="宋体"/>
    </w:rPr>
  </w:style>
  <w:style w:type="character" w:customStyle="1" w:styleId="119">
    <w:name w:val="1.1 Char"/>
    <w:qFormat/>
    <w:uiPriority w:val="0"/>
    <w:rPr>
      <w:rFonts w:ascii="宋体" w:eastAsia="宋体"/>
      <w:b/>
      <w:kern w:val="2"/>
      <w:sz w:val="32"/>
      <w:lang w:val="en-US" w:eastAsia="zh-CN"/>
    </w:rPr>
  </w:style>
  <w:style w:type="character" w:customStyle="1" w:styleId="120">
    <w:name w:val="正文 QD3 Char Char"/>
    <w:link w:val="121"/>
    <w:qFormat/>
    <w:locked/>
    <w:uiPriority w:val="0"/>
    <w:rPr>
      <w:rFonts w:ascii="Times New Roman" w:hAnsi="Times New Roman"/>
      <w:kern w:val="2"/>
      <w:sz w:val="24"/>
    </w:rPr>
  </w:style>
  <w:style w:type="paragraph" w:customStyle="1" w:styleId="121">
    <w:name w:val="正文 QD3"/>
    <w:basedOn w:val="1"/>
    <w:link w:val="120"/>
    <w:qFormat/>
    <w:uiPriority w:val="0"/>
    <w:pPr>
      <w:adjustRightInd w:val="0"/>
      <w:snapToGrid w:val="0"/>
      <w:spacing w:line="360" w:lineRule="auto"/>
      <w:ind w:firstLine="200" w:firstLineChars="200"/>
      <w:jc w:val="left"/>
    </w:pPr>
    <w:rPr>
      <w:sz w:val="24"/>
    </w:rPr>
  </w:style>
  <w:style w:type="character" w:customStyle="1" w:styleId="122">
    <w:name w:val="font21"/>
    <w:qFormat/>
    <w:uiPriority w:val="0"/>
    <w:rPr>
      <w:rFonts w:ascii="微软雅黑" w:hAnsi="微软雅黑" w:eastAsia="微软雅黑" w:cs="微软雅黑"/>
      <w:b/>
      <w:bCs/>
      <w:color w:val="000000"/>
      <w:sz w:val="20"/>
      <w:szCs w:val="20"/>
      <w:u w:val="none"/>
    </w:rPr>
  </w:style>
  <w:style w:type="character" w:customStyle="1" w:styleId="123">
    <w:name w:val="样式 Char Char"/>
    <w:link w:val="124"/>
    <w:qFormat/>
    <w:locked/>
    <w:uiPriority w:val="0"/>
    <w:rPr>
      <w:rFonts w:ascii="宋体" w:hAnsi="宋体" w:eastAsia="宋体"/>
      <w:sz w:val="24"/>
      <w:lang w:val="en-US" w:eastAsia="zh-CN"/>
    </w:rPr>
  </w:style>
  <w:style w:type="paragraph" w:customStyle="1" w:styleId="124">
    <w:name w:val="样式"/>
    <w:link w:val="123"/>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25">
    <w:name w:val="样式 宋体 行距: 固定值 24 磅 Char"/>
    <w:link w:val="126"/>
    <w:qFormat/>
    <w:locked/>
    <w:uiPriority w:val="0"/>
    <w:rPr>
      <w:rFonts w:ascii="宋体" w:hAnsi="Times New Roman"/>
      <w:color w:val="7030A0"/>
      <w:kern w:val="2"/>
      <w:sz w:val="28"/>
    </w:rPr>
  </w:style>
  <w:style w:type="paragraph" w:customStyle="1" w:styleId="126">
    <w:name w:val="样式 宋体 行距: 固定值 24 磅"/>
    <w:basedOn w:val="1"/>
    <w:link w:val="125"/>
    <w:qFormat/>
    <w:uiPriority w:val="0"/>
    <w:pPr>
      <w:spacing w:line="480" w:lineRule="exact"/>
      <w:ind w:firstLine="585" w:firstLineChars="200"/>
      <w:jc w:val="left"/>
    </w:pPr>
    <w:rPr>
      <w:rFonts w:ascii="宋体"/>
      <w:color w:val="7030A0"/>
      <w:sz w:val="28"/>
      <w:szCs w:val="20"/>
    </w:rPr>
  </w:style>
  <w:style w:type="character" w:customStyle="1" w:styleId="127">
    <w:name w:val="displayarti"/>
    <w:qFormat/>
    <w:uiPriority w:val="0"/>
    <w:rPr>
      <w:rFonts w:cs="Times New Roman"/>
      <w:color w:val="FFFFFF"/>
      <w:shd w:val="clear" w:color="auto" w:fill="A00000"/>
    </w:rPr>
  </w:style>
  <w:style w:type="character" w:customStyle="1" w:styleId="128">
    <w:name w:val="Char Char11"/>
    <w:qFormat/>
    <w:uiPriority w:val="0"/>
    <w:rPr>
      <w:rFonts w:eastAsia="宋体"/>
      <w:b/>
      <w:kern w:val="2"/>
      <w:sz w:val="24"/>
      <w:lang w:val="en-US" w:eastAsia="zh-CN"/>
    </w:rPr>
  </w:style>
  <w:style w:type="character" w:customStyle="1" w:styleId="129">
    <w:name w:val="四级标题格式 Char"/>
    <w:link w:val="130"/>
    <w:qFormat/>
    <w:locked/>
    <w:uiPriority w:val="0"/>
    <w:rPr>
      <w:rFonts w:ascii="Times New Roman" w:hAnsi="Times New Roman" w:eastAsia="黑体"/>
      <w:kern w:val="2"/>
      <w:sz w:val="28"/>
    </w:rPr>
  </w:style>
  <w:style w:type="paragraph" w:customStyle="1" w:styleId="130">
    <w:name w:val="四级标题格式"/>
    <w:basedOn w:val="2"/>
    <w:link w:val="129"/>
    <w:qFormat/>
    <w:uiPriority w:val="0"/>
    <w:pPr>
      <w:keepNext w:val="0"/>
      <w:keepLines w:val="0"/>
      <w:spacing w:before="0" w:afterLines="100" w:line="240" w:lineRule="auto"/>
      <w:jc w:val="left"/>
    </w:pPr>
    <w:rPr>
      <w:rFonts w:ascii="Times New Roman" w:hAnsi="Times New Roman" w:eastAsia="黑体"/>
      <w:b w:val="0"/>
    </w:rPr>
  </w:style>
  <w:style w:type="character" w:customStyle="1" w:styleId="131">
    <w:name w:val="样式 首行缩进:  2 字符 Char1"/>
    <w:link w:val="132"/>
    <w:qFormat/>
    <w:locked/>
    <w:uiPriority w:val="0"/>
    <w:rPr>
      <w:rFonts w:ascii="Times New Roman" w:hAnsi="Times New Roman"/>
      <w:color w:val="7030A0"/>
      <w:kern w:val="2"/>
      <w:sz w:val="24"/>
    </w:rPr>
  </w:style>
  <w:style w:type="paragraph" w:customStyle="1" w:styleId="132">
    <w:name w:val="样式 首行缩进:  2 字符"/>
    <w:basedOn w:val="1"/>
    <w:link w:val="131"/>
    <w:qFormat/>
    <w:uiPriority w:val="0"/>
    <w:pPr>
      <w:spacing w:line="480" w:lineRule="exact"/>
      <w:ind w:firstLine="480" w:firstLineChars="200"/>
      <w:jc w:val="left"/>
    </w:pPr>
    <w:rPr>
      <w:color w:val="7030A0"/>
      <w:sz w:val="24"/>
      <w:szCs w:val="20"/>
    </w:rPr>
  </w:style>
  <w:style w:type="character" w:customStyle="1" w:styleId="133">
    <w:name w:val="标题3 Char"/>
    <w:link w:val="134"/>
    <w:qFormat/>
    <w:locked/>
    <w:uiPriority w:val="0"/>
    <w:rPr>
      <w:rFonts w:ascii="Times New Roman" w:hAnsi="Times New Roman"/>
      <w:sz w:val="24"/>
    </w:rPr>
  </w:style>
  <w:style w:type="paragraph" w:customStyle="1" w:styleId="134">
    <w:name w:val="标题3"/>
    <w:basedOn w:val="6"/>
    <w:link w:val="133"/>
    <w:qFormat/>
    <w:uiPriority w:val="0"/>
    <w:pPr>
      <w:keepLines w:val="0"/>
      <w:tabs>
        <w:tab w:val="left" w:pos="360"/>
        <w:tab w:val="left" w:pos="840"/>
        <w:tab w:val="left" w:pos="2160"/>
      </w:tabs>
      <w:adjustRightInd w:val="0"/>
      <w:spacing w:before="0" w:after="0" w:line="360" w:lineRule="auto"/>
      <w:textAlignment w:val="baseline"/>
    </w:pPr>
    <w:rPr>
      <w:b w:val="0"/>
      <w:bCs w:val="0"/>
      <w:kern w:val="0"/>
      <w:sz w:val="24"/>
      <w:szCs w:val="20"/>
    </w:rPr>
  </w:style>
  <w:style w:type="character" w:customStyle="1" w:styleId="135">
    <w:name w:val="表格文字图表文字 Char"/>
    <w:link w:val="136"/>
    <w:qFormat/>
    <w:locked/>
    <w:uiPriority w:val="0"/>
    <w:rPr>
      <w:rFonts w:ascii="Times New Roman" w:hAnsi="Times New Roman"/>
      <w:color w:val="7030A0"/>
      <w:kern w:val="2"/>
      <w:sz w:val="21"/>
    </w:rPr>
  </w:style>
  <w:style w:type="paragraph" w:customStyle="1" w:styleId="136">
    <w:name w:val="表格文字图表文字"/>
    <w:basedOn w:val="1"/>
    <w:link w:val="135"/>
    <w:qFormat/>
    <w:uiPriority w:val="0"/>
    <w:pPr>
      <w:snapToGrid w:val="0"/>
      <w:ind w:firstLine="200" w:firstLineChars="200"/>
      <w:jc w:val="center"/>
    </w:pPr>
    <w:rPr>
      <w:color w:val="7030A0"/>
      <w:szCs w:val="20"/>
    </w:rPr>
  </w:style>
  <w:style w:type="character" w:customStyle="1" w:styleId="137">
    <w:name w:val="font01"/>
    <w:qFormat/>
    <w:uiPriority w:val="0"/>
    <w:rPr>
      <w:rFonts w:ascii="Arial" w:hAnsi="Arial" w:cs="Arial"/>
      <w:color w:val="000000"/>
      <w:sz w:val="20"/>
      <w:szCs w:val="20"/>
      <w:u w:val="none"/>
    </w:rPr>
  </w:style>
  <w:style w:type="character" w:customStyle="1" w:styleId="138">
    <w:name w:val="样式 标题 2标题 1.1head:2#2 headlinehheadlineS&amp;R2ERMH2Head 2 +... Char Char"/>
    <w:qFormat/>
    <w:uiPriority w:val="0"/>
    <w:rPr>
      <w:rFonts w:ascii="Arial" w:hAnsi="Arial" w:eastAsia="宋体"/>
      <w:b/>
      <w:sz w:val="24"/>
      <w:lang w:val="en-US" w:eastAsia="zh-CN"/>
    </w:rPr>
  </w:style>
  <w:style w:type="character" w:customStyle="1" w:styleId="139">
    <w:name w:val="表格文字图表文字 Char Char"/>
    <w:qFormat/>
    <w:uiPriority w:val="0"/>
    <w:rPr>
      <w:color w:val="7030A0"/>
      <w:kern w:val="2"/>
      <w:sz w:val="21"/>
    </w:rPr>
  </w:style>
  <w:style w:type="character" w:customStyle="1" w:styleId="140">
    <w:name w:val="普通文字 Char Char"/>
    <w:qFormat/>
    <w:uiPriority w:val="0"/>
    <w:rPr>
      <w:rFonts w:ascii="宋体" w:hAnsi="Courier New" w:eastAsia="宋体"/>
      <w:kern w:val="2"/>
      <w:sz w:val="21"/>
      <w:lang w:val="en-US" w:eastAsia="zh-CN"/>
    </w:rPr>
  </w:style>
  <w:style w:type="character" w:customStyle="1" w:styleId="141">
    <w:name w:val="Char Char8"/>
    <w:qFormat/>
    <w:uiPriority w:val="0"/>
    <w:rPr>
      <w:rFonts w:eastAsia="宋体"/>
      <w:kern w:val="2"/>
      <w:sz w:val="21"/>
      <w:lang w:val="en-US" w:eastAsia="zh-CN"/>
    </w:rPr>
  </w:style>
  <w:style w:type="character" w:customStyle="1" w:styleId="142">
    <w:name w:val="样式 二号 红色 边框:: (单实线 自动设置  0.5 磅 行宽)"/>
    <w:qFormat/>
    <w:uiPriority w:val="0"/>
    <w:rPr>
      <w:rFonts w:eastAsia="宋体"/>
      <w:color w:val="0000FF"/>
      <w:sz w:val="44"/>
      <w:bdr w:val="single" w:color="0000FF" w:sz="4" w:space="0"/>
    </w:rPr>
  </w:style>
  <w:style w:type="character" w:customStyle="1" w:styleId="143">
    <w:name w:val="标题3 Char Char"/>
    <w:qFormat/>
    <w:uiPriority w:val="0"/>
    <w:rPr>
      <w:rFonts w:ascii="宋体" w:eastAsia="宋体"/>
      <w:b/>
      <w:color w:val="92D050"/>
      <w:kern w:val="44"/>
      <w:sz w:val="21"/>
    </w:rPr>
  </w:style>
  <w:style w:type="character" w:customStyle="1" w:styleId="144">
    <w:name w:val="日期 Char1"/>
    <w:semiHidden/>
    <w:qFormat/>
    <w:uiPriority w:val="0"/>
    <w:rPr>
      <w:rFonts w:ascii="Times New Roman" w:hAnsi="Times New Roman" w:cs="Times New Roman"/>
      <w:kern w:val="2"/>
      <w:sz w:val="24"/>
      <w:szCs w:val="24"/>
    </w:rPr>
  </w:style>
  <w:style w:type="character" w:customStyle="1" w:styleId="145">
    <w:name w:val="Char Char7"/>
    <w:qFormat/>
    <w:uiPriority w:val="0"/>
    <w:rPr>
      <w:rFonts w:ascii="Arial" w:hAnsi="Arial" w:eastAsia="黑体" w:cs="Times New Roman"/>
      <w:b/>
      <w:bCs/>
      <w:kern w:val="2"/>
      <w:sz w:val="32"/>
      <w:szCs w:val="32"/>
      <w:lang w:val="en-US" w:eastAsia="zh-CN" w:bidi="ar-SA"/>
    </w:rPr>
  </w:style>
  <w:style w:type="character" w:customStyle="1" w:styleId="146">
    <w:name w:val="樣式 標題 3 + (中文) MS Gothic 10.5 點 Char Char Char Char Char Char Char Char"/>
    <w:qFormat/>
    <w:uiPriority w:val="0"/>
    <w:rPr>
      <w:rFonts w:hAnsi="PMingLiU" w:eastAsia="MS Gothic"/>
      <w:snapToGrid w:val="0"/>
      <w:kern w:val="2"/>
      <w:sz w:val="24"/>
      <w:lang w:val="en-AU" w:eastAsia="zh-TW"/>
    </w:rPr>
  </w:style>
  <w:style w:type="character" w:customStyle="1" w:styleId="147">
    <w:name w:val="(1) Char Char"/>
    <w:link w:val="148"/>
    <w:qFormat/>
    <w:locked/>
    <w:uiPriority w:val="0"/>
    <w:rPr>
      <w:rFonts w:ascii="宋体" w:eastAsia="宋体"/>
      <w:kern w:val="2"/>
      <w:sz w:val="24"/>
    </w:rPr>
  </w:style>
  <w:style w:type="paragraph" w:customStyle="1" w:styleId="148">
    <w:name w:val="(1)"/>
    <w:basedOn w:val="1"/>
    <w:next w:val="1"/>
    <w:link w:val="147"/>
    <w:qFormat/>
    <w:uiPriority w:val="0"/>
    <w:pPr>
      <w:tabs>
        <w:tab w:val="left" w:pos="813"/>
      </w:tabs>
      <w:spacing w:line="360" w:lineRule="auto"/>
      <w:ind w:left="813" w:hanging="567"/>
    </w:pPr>
    <w:rPr>
      <w:rFonts w:ascii="宋体" w:hAnsi="宋体"/>
      <w:sz w:val="24"/>
    </w:rPr>
  </w:style>
  <w:style w:type="character" w:customStyle="1" w:styleId="149">
    <w:name w:val="列表框2 Char"/>
    <w:link w:val="150"/>
    <w:qFormat/>
    <w:locked/>
    <w:uiPriority w:val="0"/>
    <w:rPr>
      <w:snapToGrid w:val="0"/>
      <w:color w:val="7030A0"/>
      <w:spacing w:val="10"/>
      <w:sz w:val="24"/>
    </w:rPr>
  </w:style>
  <w:style w:type="paragraph" w:customStyle="1" w:styleId="150">
    <w:name w:val="列表框2"/>
    <w:basedOn w:val="1"/>
    <w:link w:val="149"/>
    <w:qFormat/>
    <w:uiPriority w:val="0"/>
    <w:pPr>
      <w:tabs>
        <w:tab w:val="left" w:pos="360"/>
        <w:tab w:val="left" w:pos="1628"/>
        <w:tab w:val="left" w:pos="2086"/>
      </w:tabs>
      <w:adjustRightInd w:val="0"/>
      <w:snapToGrid w:val="0"/>
      <w:ind w:left="1748" w:right="210" w:rightChars="100" w:hanging="434" w:firstLineChars="200"/>
      <w:jc w:val="left"/>
    </w:pPr>
    <w:rPr>
      <w:color w:val="7030A0"/>
      <w:spacing w:val="10"/>
      <w:kern w:val="0"/>
      <w:sz w:val="24"/>
    </w:rPr>
  </w:style>
  <w:style w:type="character" w:customStyle="1" w:styleId="151">
    <w:name w:val="2 headline Char Char"/>
    <w:qFormat/>
    <w:uiPriority w:val="0"/>
    <w:rPr>
      <w:rFonts w:eastAsia="黑体"/>
      <w:kern w:val="2"/>
      <w:sz w:val="28"/>
      <w:lang w:val="en-US" w:eastAsia="zh-CN"/>
    </w:rPr>
  </w:style>
  <w:style w:type="character" w:customStyle="1" w:styleId="152">
    <w:name w:val="sub-dash Char"/>
    <w:qFormat/>
    <w:uiPriority w:val="0"/>
    <w:rPr>
      <w:rFonts w:ascii="Arial" w:hAnsi="Arial" w:eastAsia="黑体"/>
      <w:b/>
      <w:kern w:val="2"/>
      <w:sz w:val="24"/>
      <w:lang w:val="en-US" w:eastAsia="zh-CN"/>
    </w:rPr>
  </w:style>
  <w:style w:type="character" w:customStyle="1" w:styleId="153">
    <w:name w:val="正文段落格式 Char"/>
    <w:link w:val="154"/>
    <w:qFormat/>
    <w:locked/>
    <w:uiPriority w:val="0"/>
    <w:rPr>
      <w:rFonts w:ascii="Times New Roman" w:hAnsi="Times New Roman"/>
      <w:color w:val="7030A0"/>
      <w:kern w:val="2"/>
      <w:sz w:val="24"/>
    </w:rPr>
  </w:style>
  <w:style w:type="paragraph" w:customStyle="1" w:styleId="154">
    <w:name w:val="正文段落格式"/>
    <w:basedOn w:val="132"/>
    <w:link w:val="153"/>
    <w:qFormat/>
    <w:uiPriority w:val="0"/>
    <w:pPr>
      <w:spacing w:afterLines="50" w:line="336" w:lineRule="auto"/>
    </w:pPr>
  </w:style>
  <w:style w:type="character" w:customStyle="1" w:styleId="155">
    <w:name w:val="书籍标题1"/>
    <w:qFormat/>
    <w:uiPriority w:val="0"/>
    <w:rPr>
      <w:b/>
      <w:smallCaps/>
      <w:spacing w:val="5"/>
    </w:rPr>
  </w:style>
  <w:style w:type="character" w:customStyle="1" w:styleId="156">
    <w:name w:val="apple-style-span"/>
    <w:basedOn w:val="76"/>
    <w:qFormat/>
    <w:uiPriority w:val="0"/>
    <w:rPr>
      <w:rFonts w:cs="Times New Roman"/>
    </w:rPr>
  </w:style>
  <w:style w:type="character" w:customStyle="1" w:styleId="157">
    <w:name w:val="正文 BJ15 Char Char"/>
    <w:link w:val="158"/>
    <w:qFormat/>
    <w:locked/>
    <w:uiPriority w:val="0"/>
    <w:rPr>
      <w:rFonts w:ascii="Times New Roman" w:hAnsi="Times New Roman"/>
      <w:kern w:val="2"/>
      <w:sz w:val="24"/>
    </w:rPr>
  </w:style>
  <w:style w:type="paragraph" w:customStyle="1" w:styleId="158">
    <w:name w:val="正文 BJ15"/>
    <w:basedOn w:val="1"/>
    <w:link w:val="157"/>
    <w:qFormat/>
    <w:uiPriority w:val="0"/>
    <w:pPr>
      <w:adjustRightInd w:val="0"/>
      <w:snapToGrid w:val="0"/>
      <w:spacing w:line="360" w:lineRule="auto"/>
      <w:ind w:firstLine="200" w:firstLineChars="200"/>
      <w:jc w:val="left"/>
    </w:pPr>
    <w:rPr>
      <w:sz w:val="24"/>
    </w:rPr>
  </w:style>
  <w:style w:type="character" w:customStyle="1" w:styleId="159">
    <w:name w:val="表格文字 BJ8 Char Char"/>
    <w:link w:val="160"/>
    <w:qFormat/>
    <w:locked/>
    <w:uiPriority w:val="0"/>
    <w:rPr>
      <w:rFonts w:ascii="Times New Roman" w:hAnsi="Times New Roman"/>
      <w:kern w:val="2"/>
      <w:sz w:val="21"/>
    </w:rPr>
  </w:style>
  <w:style w:type="paragraph" w:customStyle="1" w:styleId="160">
    <w:name w:val="表格文字 BJ8"/>
    <w:basedOn w:val="1"/>
    <w:link w:val="159"/>
    <w:qFormat/>
    <w:uiPriority w:val="0"/>
    <w:pPr>
      <w:adjustRightInd w:val="0"/>
      <w:snapToGrid w:val="0"/>
      <w:spacing w:line="400" w:lineRule="exact"/>
      <w:ind w:firstLine="200" w:firstLineChars="200"/>
      <w:jc w:val="center"/>
    </w:pPr>
    <w:rPr>
      <w:szCs w:val="21"/>
    </w:rPr>
  </w:style>
  <w:style w:type="character" w:customStyle="1" w:styleId="161">
    <w:name w:val="font161"/>
    <w:qFormat/>
    <w:uiPriority w:val="0"/>
    <w:rPr>
      <w:rFonts w:cs="Times New Roman"/>
      <w:b/>
      <w:bCs/>
      <w:sz w:val="32"/>
      <w:szCs w:val="32"/>
    </w:rPr>
  </w:style>
  <w:style w:type="character" w:customStyle="1" w:styleId="162">
    <w:name w:val="正文文本 Char1"/>
    <w:qFormat/>
    <w:uiPriority w:val="0"/>
    <w:rPr>
      <w:rFonts w:ascii="Times New Roman" w:hAnsi="Times New Roman"/>
      <w:kern w:val="2"/>
      <w:sz w:val="24"/>
    </w:rPr>
  </w:style>
  <w:style w:type="character" w:customStyle="1" w:styleId="163">
    <w:name w:val="表图名称 Char Char"/>
    <w:link w:val="164"/>
    <w:qFormat/>
    <w:locked/>
    <w:uiPriority w:val="0"/>
    <w:rPr>
      <w:rFonts w:ascii="黑体" w:hAnsi="宋体" w:eastAsia="黑体"/>
      <w:kern w:val="2"/>
      <w:sz w:val="24"/>
      <w:lang w:val="en-US" w:eastAsia="zh-CN"/>
    </w:rPr>
  </w:style>
  <w:style w:type="paragraph" w:customStyle="1" w:styleId="164">
    <w:name w:val="表图名称"/>
    <w:link w:val="163"/>
    <w:qFormat/>
    <w:uiPriority w:val="0"/>
    <w:pPr>
      <w:widowControl w:val="0"/>
      <w:tabs>
        <w:tab w:val="left" w:pos="6120"/>
        <w:tab w:val="left" w:pos="13784"/>
      </w:tabs>
      <w:adjustRightInd w:val="0"/>
      <w:snapToGrid w:val="0"/>
      <w:spacing w:line="360" w:lineRule="auto"/>
      <w:jc w:val="center"/>
    </w:pPr>
    <w:rPr>
      <w:rFonts w:ascii="黑体" w:hAnsi="宋体" w:eastAsia="黑体" w:cs="Times New Roman"/>
      <w:kern w:val="2"/>
      <w:sz w:val="24"/>
      <w:szCs w:val="24"/>
      <w:lang w:val="en-US" w:eastAsia="zh-CN" w:bidi="ar-SA"/>
    </w:rPr>
  </w:style>
  <w:style w:type="character" w:customStyle="1" w:styleId="165">
    <w:name w:val="selected"/>
    <w:qFormat/>
    <w:uiPriority w:val="0"/>
    <w:rPr>
      <w:rFonts w:cs="Times New Roman"/>
      <w:shd w:val="clear" w:color="auto" w:fill="B00006"/>
    </w:rPr>
  </w:style>
  <w:style w:type="character" w:customStyle="1" w:styleId="166">
    <w:name w:val="Char Char"/>
    <w:qFormat/>
    <w:uiPriority w:val="0"/>
    <w:rPr>
      <w:rFonts w:ascii="Arial" w:hAnsi="Arial" w:eastAsia="黑体" w:cs="Times New Roman"/>
      <w:b/>
      <w:bCs/>
      <w:kern w:val="2"/>
      <w:sz w:val="32"/>
      <w:szCs w:val="32"/>
      <w:lang w:val="en-US" w:eastAsia="zh-CN" w:bidi="ar-SA"/>
    </w:rPr>
  </w:style>
  <w:style w:type="character" w:customStyle="1" w:styleId="167">
    <w:name w:val="样式 标题 31.1条标题1.1.1二级节名h3Heading 3 - oldheading 3H3H31H3... Char Char"/>
    <w:qFormat/>
    <w:uiPriority w:val="0"/>
    <w:rPr>
      <w:rFonts w:ascii="宋体" w:hAnsi="宋体" w:eastAsia="黑体"/>
      <w:kern w:val="2"/>
      <w:sz w:val="21"/>
    </w:rPr>
  </w:style>
  <w:style w:type="character" w:customStyle="1" w:styleId="168">
    <w:name w:val="font41"/>
    <w:qFormat/>
    <w:uiPriority w:val="0"/>
    <w:rPr>
      <w:rFonts w:ascii="微软雅黑" w:hAnsi="微软雅黑" w:eastAsia="微软雅黑" w:cs="微软雅黑"/>
      <w:color w:val="000000"/>
      <w:sz w:val="20"/>
      <w:szCs w:val="20"/>
      <w:u w:val="none"/>
    </w:rPr>
  </w:style>
  <w:style w:type="character" w:customStyle="1" w:styleId="169">
    <w:name w:val="样式 宋体 行距: 固定值 24 磅 Char Char"/>
    <w:qFormat/>
    <w:uiPriority w:val="0"/>
    <w:rPr>
      <w:rFonts w:ascii="宋体"/>
      <w:color w:val="7030A0"/>
      <w:kern w:val="2"/>
      <w:sz w:val="28"/>
    </w:rPr>
  </w:style>
  <w:style w:type="character" w:customStyle="1" w:styleId="170">
    <w:name w:val="正文－wjnew Char Char"/>
    <w:link w:val="171"/>
    <w:qFormat/>
    <w:locked/>
    <w:uiPriority w:val="0"/>
    <w:rPr>
      <w:rFonts w:ascii="宋体"/>
      <w:kern w:val="2"/>
      <w:sz w:val="21"/>
    </w:rPr>
  </w:style>
  <w:style w:type="paragraph" w:customStyle="1" w:styleId="171">
    <w:name w:val="正文－wjnew"/>
    <w:basedOn w:val="1"/>
    <w:link w:val="170"/>
    <w:qFormat/>
    <w:uiPriority w:val="0"/>
    <w:pPr>
      <w:adjustRightInd w:val="0"/>
      <w:snapToGrid w:val="0"/>
      <w:spacing w:line="360" w:lineRule="auto"/>
      <w:ind w:firstLine="420"/>
    </w:pPr>
    <w:rPr>
      <w:rFonts w:ascii="宋体"/>
      <w:szCs w:val="21"/>
    </w:rPr>
  </w:style>
  <w:style w:type="character" w:customStyle="1" w:styleId="172">
    <w:name w:val="正文－zlb Char Char"/>
    <w:link w:val="173"/>
    <w:qFormat/>
    <w:locked/>
    <w:uiPriority w:val="0"/>
    <w:rPr>
      <w:rFonts w:ascii="宋体"/>
      <w:kern w:val="2"/>
      <w:sz w:val="24"/>
    </w:rPr>
  </w:style>
  <w:style w:type="paragraph" w:customStyle="1" w:styleId="173">
    <w:name w:val="正文－zlb"/>
    <w:basedOn w:val="1"/>
    <w:link w:val="172"/>
    <w:qFormat/>
    <w:uiPriority w:val="0"/>
    <w:pPr>
      <w:adjustRightInd w:val="0"/>
      <w:snapToGrid w:val="0"/>
      <w:spacing w:line="360" w:lineRule="auto"/>
      <w:ind w:firstLine="420"/>
    </w:pPr>
    <w:rPr>
      <w:rFonts w:ascii="宋体"/>
      <w:sz w:val="24"/>
    </w:rPr>
  </w:style>
  <w:style w:type="character" w:customStyle="1" w:styleId="174">
    <w:name w:val="占位符文本1"/>
    <w:semiHidden/>
    <w:qFormat/>
    <w:uiPriority w:val="0"/>
    <w:rPr>
      <w:rFonts w:cs="Times New Roman"/>
      <w:color w:val="808080"/>
    </w:rPr>
  </w:style>
  <w:style w:type="character" w:customStyle="1" w:styleId="175">
    <w:name w:val="图表标题 BJ8 Char Char"/>
    <w:link w:val="176"/>
    <w:qFormat/>
    <w:locked/>
    <w:uiPriority w:val="0"/>
    <w:rPr>
      <w:rFonts w:ascii="Times New Roman" w:hAnsi="Times New Roman" w:eastAsia="黑体"/>
      <w:kern w:val="2"/>
      <w:sz w:val="24"/>
    </w:rPr>
  </w:style>
  <w:style w:type="paragraph" w:customStyle="1" w:styleId="176">
    <w:name w:val="图表标题 BJ8"/>
    <w:basedOn w:val="1"/>
    <w:link w:val="175"/>
    <w:qFormat/>
    <w:uiPriority w:val="0"/>
    <w:pPr>
      <w:adjustRightInd w:val="0"/>
      <w:snapToGrid w:val="0"/>
      <w:ind w:firstLine="200" w:firstLineChars="200"/>
      <w:jc w:val="center"/>
    </w:pPr>
    <w:rPr>
      <w:rFonts w:eastAsia="黑体"/>
      <w:sz w:val="24"/>
      <w:szCs w:val="20"/>
    </w:rPr>
  </w:style>
  <w:style w:type="character" w:customStyle="1" w:styleId="177">
    <w:name w:val="标题2 Char Char"/>
    <w:link w:val="178"/>
    <w:qFormat/>
    <w:locked/>
    <w:uiPriority w:val="0"/>
    <w:rPr>
      <w:rFonts w:ascii="宋体" w:hAnsi="Times New Roman"/>
      <w:b/>
      <w:color w:val="92D050"/>
      <w:kern w:val="44"/>
      <w:sz w:val="30"/>
    </w:rPr>
  </w:style>
  <w:style w:type="paragraph" w:customStyle="1" w:styleId="178">
    <w:name w:val="标题2"/>
    <w:basedOn w:val="4"/>
    <w:link w:val="177"/>
    <w:qFormat/>
    <w:uiPriority w:val="0"/>
    <w:pPr>
      <w:spacing w:before="0" w:after="0" w:line="312" w:lineRule="auto"/>
      <w:ind w:left="0" w:firstLine="0"/>
      <w:jc w:val="center"/>
    </w:pPr>
    <w:rPr>
      <w:rFonts w:ascii="宋体"/>
      <w:bCs w:val="0"/>
      <w:color w:val="92D050"/>
      <w:sz w:val="30"/>
      <w:szCs w:val="20"/>
    </w:rPr>
  </w:style>
  <w:style w:type="character" w:customStyle="1" w:styleId="179">
    <w:name w:val="正文1 Char Char"/>
    <w:qFormat/>
    <w:uiPriority w:val="0"/>
    <w:rPr>
      <w:rFonts w:ascii="宋体" w:eastAsia="宋体"/>
      <w:kern w:val="10"/>
      <w:sz w:val="24"/>
    </w:rPr>
  </w:style>
  <w:style w:type="character" w:customStyle="1" w:styleId="180">
    <w:name w:val="正文段落格式 Char Char"/>
    <w:qFormat/>
    <w:uiPriority w:val="0"/>
    <w:rPr>
      <w:color w:val="7030A0"/>
      <w:kern w:val="2"/>
      <w:sz w:val="24"/>
    </w:rPr>
  </w:style>
  <w:style w:type="character" w:customStyle="1" w:styleId="181">
    <w:name w:val="正文缩进 Char Char"/>
    <w:link w:val="182"/>
    <w:qFormat/>
    <w:locked/>
    <w:uiPriority w:val="0"/>
    <w:rPr>
      <w:kern w:val="2"/>
      <w:sz w:val="24"/>
    </w:rPr>
  </w:style>
  <w:style w:type="paragraph" w:customStyle="1" w:styleId="182">
    <w:name w:val="正文缩进1"/>
    <w:basedOn w:val="1"/>
    <w:link w:val="181"/>
    <w:qFormat/>
    <w:uiPriority w:val="0"/>
    <w:pPr>
      <w:spacing w:line="360" w:lineRule="auto"/>
      <w:ind w:firstLine="420"/>
    </w:pPr>
  </w:style>
  <w:style w:type="character" w:customStyle="1" w:styleId="183">
    <w:name w:val="纯文本 Char Char"/>
    <w:qFormat/>
    <w:uiPriority w:val="0"/>
    <w:rPr>
      <w:rFonts w:ascii="宋体" w:hAnsi="Courier New" w:eastAsia="宋体"/>
      <w:kern w:val="2"/>
      <w:sz w:val="21"/>
      <w:lang w:val="en-US" w:eastAsia="zh-CN"/>
    </w:rPr>
  </w:style>
  <w:style w:type="character" w:customStyle="1" w:styleId="184">
    <w:name w:val="五级标题格式 Char"/>
    <w:link w:val="185"/>
    <w:qFormat/>
    <w:locked/>
    <w:uiPriority w:val="0"/>
    <w:rPr>
      <w:rFonts w:ascii="Times New Roman" w:hAnsi="Times New Roman"/>
      <w:b/>
      <w:kern w:val="2"/>
      <w:sz w:val="28"/>
    </w:rPr>
  </w:style>
  <w:style w:type="paragraph" w:customStyle="1" w:styleId="185">
    <w:name w:val="五级标题格式"/>
    <w:basedOn w:val="7"/>
    <w:link w:val="184"/>
    <w:qFormat/>
    <w:uiPriority w:val="0"/>
    <w:pPr>
      <w:keepNext w:val="0"/>
      <w:keepLines w:val="0"/>
      <w:tabs>
        <w:tab w:val="clear" w:pos="1008"/>
      </w:tabs>
      <w:spacing w:before="0" w:afterLines="50" w:line="240" w:lineRule="auto"/>
      <w:ind w:left="0" w:firstLine="0"/>
      <w:jc w:val="left"/>
    </w:pPr>
    <w:rPr>
      <w:bCs/>
      <w:sz w:val="24"/>
      <w:szCs w:val="28"/>
    </w:rPr>
  </w:style>
  <w:style w:type="character" w:customStyle="1" w:styleId="186">
    <w:name w:val="正文文本缩进 Char"/>
    <w:qFormat/>
    <w:uiPriority w:val="0"/>
    <w:rPr>
      <w:rFonts w:ascii="Times New Roman" w:hAnsi="Times New Roman" w:cs="Times New Roman"/>
      <w:kern w:val="2"/>
      <w:sz w:val="24"/>
      <w:szCs w:val="24"/>
    </w:rPr>
  </w:style>
  <w:style w:type="character" w:customStyle="1" w:styleId="187">
    <w:name w:val="列表框1 Char Char"/>
    <w:qFormat/>
    <w:uiPriority w:val="0"/>
    <w:rPr>
      <w:rFonts w:ascii="Arial" w:hAnsi="Arial" w:eastAsia="楷体_GB2312"/>
      <w:spacing w:val="10"/>
      <w:sz w:val="21"/>
      <w:lang w:val="en-US" w:eastAsia="zh-CN"/>
    </w:rPr>
  </w:style>
  <w:style w:type="character" w:customStyle="1" w:styleId="188">
    <w:name w:val="样式 楷体_GB2312 二号 加粗 Char"/>
    <w:qFormat/>
    <w:uiPriority w:val="0"/>
    <w:rPr>
      <w:rFonts w:ascii="楷体_GB2312" w:hAnsi="Arial" w:eastAsia="楷体_GB2312"/>
      <w:b/>
      <w:kern w:val="2"/>
      <w:sz w:val="24"/>
      <w:lang w:val="en-US" w:eastAsia="zh-CN"/>
    </w:rPr>
  </w:style>
  <w:style w:type="character" w:customStyle="1" w:styleId="189">
    <w:name w:val="列表框2 Char Char"/>
    <w:qFormat/>
    <w:uiPriority w:val="0"/>
    <w:rPr>
      <w:color w:val="7030A0"/>
      <w:spacing w:val="10"/>
      <w:sz w:val="24"/>
    </w:rPr>
  </w:style>
  <w:style w:type="character" w:customStyle="1" w:styleId="190">
    <w:name w:val="Char Char111"/>
    <w:qFormat/>
    <w:uiPriority w:val="0"/>
    <w:rPr>
      <w:rFonts w:eastAsia="宋体"/>
      <w:b/>
      <w:kern w:val="2"/>
      <w:sz w:val="24"/>
      <w:lang w:val="en-US" w:eastAsia="zh-CN"/>
    </w:rPr>
  </w:style>
  <w:style w:type="character" w:customStyle="1" w:styleId="191">
    <w:name w:val="Char Char2"/>
    <w:qFormat/>
    <w:uiPriority w:val="0"/>
    <w:rPr>
      <w:rFonts w:eastAsia="仿宋_GB2312"/>
      <w:kern w:val="2"/>
      <w:sz w:val="28"/>
      <w:lang w:val="en-US" w:eastAsia="zh-CN"/>
    </w:rPr>
  </w:style>
  <w:style w:type="character" w:customStyle="1" w:styleId="192">
    <w:name w:val="b Char"/>
    <w:qFormat/>
    <w:uiPriority w:val="0"/>
    <w:rPr>
      <w:rFonts w:eastAsia="宋体"/>
      <w:b/>
      <w:kern w:val="2"/>
      <w:sz w:val="28"/>
      <w:lang w:val="en-US" w:eastAsia="zh-CN"/>
    </w:rPr>
  </w:style>
  <w:style w:type="character" w:customStyle="1" w:styleId="193">
    <w:name w:val="正文 BJ8 Char Char"/>
    <w:link w:val="194"/>
    <w:qFormat/>
    <w:locked/>
    <w:uiPriority w:val="0"/>
    <w:rPr>
      <w:rFonts w:ascii="Times New Roman" w:hAnsi="Times New Roman"/>
      <w:color w:val="7030A0"/>
      <w:kern w:val="2"/>
      <w:sz w:val="24"/>
    </w:rPr>
  </w:style>
  <w:style w:type="paragraph" w:customStyle="1" w:styleId="194">
    <w:name w:val="正文 BJ8"/>
    <w:basedOn w:val="1"/>
    <w:link w:val="193"/>
    <w:qFormat/>
    <w:uiPriority w:val="0"/>
    <w:pPr>
      <w:adjustRightInd w:val="0"/>
      <w:snapToGrid w:val="0"/>
      <w:spacing w:line="360" w:lineRule="auto"/>
      <w:ind w:firstLine="200" w:firstLineChars="200"/>
      <w:jc w:val="left"/>
    </w:pPr>
    <w:rPr>
      <w:color w:val="7030A0"/>
      <w:sz w:val="24"/>
    </w:rPr>
  </w:style>
  <w:style w:type="character" w:customStyle="1" w:styleId="195">
    <w:name w:val="font11"/>
    <w:qFormat/>
    <w:uiPriority w:val="0"/>
    <w:rPr>
      <w:rFonts w:ascii="宋体" w:hAnsi="宋体" w:eastAsia="宋体" w:cs="宋体"/>
      <w:color w:val="000000"/>
      <w:sz w:val="20"/>
      <w:szCs w:val="20"/>
      <w:u w:val="none"/>
    </w:rPr>
  </w:style>
  <w:style w:type="character" w:customStyle="1" w:styleId="196">
    <w:name w:val="样式 标题 3 + (中文) 黑体 小四 非加粗 段前: 7.8 磅 段后: 0 磅 行距: 固定值 20 磅 Char Char"/>
    <w:link w:val="197"/>
    <w:qFormat/>
    <w:locked/>
    <w:uiPriority w:val="0"/>
    <w:rPr>
      <w:rFonts w:eastAsia="黑体"/>
      <w:kern w:val="2"/>
      <w:sz w:val="24"/>
    </w:rPr>
  </w:style>
  <w:style w:type="paragraph" w:customStyle="1" w:styleId="197">
    <w:name w:val="样式 标题 3 + (中文) 黑体 小四 非加粗 段前: 7.8 磅 段后: 0 磅 行距: 固定值 20 磅"/>
    <w:basedOn w:val="6"/>
    <w:link w:val="196"/>
    <w:qFormat/>
    <w:uiPriority w:val="0"/>
    <w:pPr>
      <w:spacing w:before="0" w:after="0" w:line="400" w:lineRule="exact"/>
    </w:pPr>
    <w:rPr>
      <w:rFonts w:eastAsia="黑体"/>
      <w:b w:val="0"/>
      <w:bCs w:val="0"/>
      <w:sz w:val="24"/>
      <w:szCs w:val="20"/>
    </w:rPr>
  </w:style>
  <w:style w:type="character" w:customStyle="1" w:styleId="198">
    <w:name w:val="标题 4 Char1"/>
    <w:qFormat/>
    <w:uiPriority w:val="0"/>
    <w:rPr>
      <w:rFonts w:ascii="宋体" w:eastAsia="宋体"/>
      <w:b/>
      <w:kern w:val="2"/>
      <w:sz w:val="21"/>
    </w:rPr>
  </w:style>
  <w:style w:type="character" w:customStyle="1" w:styleId="199">
    <w:name w:val="正文（首行缩进两字） Char"/>
    <w:qFormat/>
    <w:uiPriority w:val="0"/>
    <w:rPr>
      <w:rFonts w:eastAsia="宋体"/>
      <w:sz w:val="32"/>
      <w:lang w:val="en-US" w:eastAsia="zh-CN"/>
    </w:rPr>
  </w:style>
  <w:style w:type="character" w:customStyle="1" w:styleId="200">
    <w:name w:val="应答文本 Char Char"/>
    <w:qFormat/>
    <w:uiPriority w:val="0"/>
    <w:rPr>
      <w:rFonts w:ascii="Arial" w:hAnsi="Arial" w:eastAsia="楷体_GB2312"/>
      <w:spacing w:val="10"/>
      <w:sz w:val="21"/>
      <w:lang w:val="en-US" w:eastAsia="zh-CN"/>
    </w:rPr>
  </w:style>
  <w:style w:type="character" w:customStyle="1" w:styleId="201">
    <w:name w:val="gpa"/>
    <w:qFormat/>
    <w:uiPriority w:val="0"/>
    <w:rPr>
      <w:rFonts w:ascii="Arial" w:hAnsi="Arial" w:cs="Arial"/>
      <w:sz w:val="12"/>
      <w:szCs w:val="12"/>
    </w:rPr>
  </w:style>
  <w:style w:type="character" w:customStyle="1" w:styleId="202">
    <w:name w:val="无编号正文 Char Char"/>
    <w:link w:val="203"/>
    <w:qFormat/>
    <w:locked/>
    <w:uiPriority w:val="0"/>
    <w:rPr>
      <w:rFonts w:ascii="宋体" w:eastAsia="宋体"/>
      <w:sz w:val="24"/>
    </w:rPr>
  </w:style>
  <w:style w:type="paragraph" w:customStyle="1" w:styleId="203">
    <w:name w:val="无编号正文"/>
    <w:basedOn w:val="29"/>
    <w:next w:val="1"/>
    <w:link w:val="202"/>
    <w:qFormat/>
    <w:uiPriority w:val="0"/>
    <w:pPr>
      <w:ind w:left="200" w:leftChars="200" w:firstLine="200" w:firstLineChars="200"/>
    </w:pPr>
    <w:rPr>
      <w:rFonts w:ascii="宋体" w:hAnsi="宋体"/>
      <w:kern w:val="0"/>
      <w:szCs w:val="24"/>
    </w:rPr>
  </w:style>
  <w:style w:type="character" w:customStyle="1" w:styleId="204">
    <w:name w:val="样式 标题 31.1条标题1.1.1二级节名h3Heading 3 - oldheading 3H3H31H3... Char"/>
    <w:link w:val="205"/>
    <w:qFormat/>
    <w:locked/>
    <w:uiPriority w:val="0"/>
    <w:rPr>
      <w:rFonts w:ascii="宋体" w:hAnsi="宋体" w:eastAsia="黑体"/>
      <w:kern w:val="2"/>
      <w:sz w:val="21"/>
    </w:rPr>
  </w:style>
  <w:style w:type="paragraph" w:customStyle="1" w:styleId="205">
    <w:name w:val="样式 标题 31.1条标题1.1.1二级节名h3Heading 3 - oldheading 3H3H31H3..."/>
    <w:basedOn w:val="6"/>
    <w:link w:val="204"/>
    <w:qFormat/>
    <w:uiPriority w:val="0"/>
    <w:pPr>
      <w:keepNext w:val="0"/>
      <w:keepLines w:val="0"/>
      <w:spacing w:before="240" w:after="120" w:line="480" w:lineRule="exact"/>
      <w:jc w:val="left"/>
    </w:pPr>
    <w:rPr>
      <w:rFonts w:ascii="宋体" w:hAnsi="宋体" w:eastAsia="黑体"/>
      <w:b w:val="0"/>
      <w:bCs w:val="0"/>
      <w:sz w:val="24"/>
      <w:szCs w:val="21"/>
    </w:rPr>
  </w:style>
  <w:style w:type="character" w:customStyle="1" w:styleId="206">
    <w:name w:val="正文1 Char"/>
    <w:link w:val="207"/>
    <w:qFormat/>
    <w:locked/>
    <w:uiPriority w:val="0"/>
    <w:rPr>
      <w:rFonts w:ascii="Times New Roman" w:hAnsi="Times New Roman"/>
      <w:kern w:val="2"/>
      <w:sz w:val="24"/>
    </w:rPr>
  </w:style>
  <w:style w:type="paragraph" w:customStyle="1" w:styleId="207">
    <w:name w:val="正文1"/>
    <w:basedOn w:val="1"/>
    <w:link w:val="206"/>
    <w:qFormat/>
    <w:uiPriority w:val="0"/>
    <w:pPr>
      <w:tabs>
        <w:tab w:val="left" w:pos="720"/>
        <w:tab w:val="right" w:pos="1191"/>
      </w:tabs>
      <w:spacing w:line="360" w:lineRule="auto"/>
      <w:ind w:left="720" w:hanging="360"/>
    </w:pPr>
    <w:rPr>
      <w:sz w:val="24"/>
      <w:szCs w:val="20"/>
    </w:rPr>
  </w:style>
  <w:style w:type="character" w:customStyle="1" w:styleId="208">
    <w:name w:val="批注文字 Char1"/>
    <w:semiHidden/>
    <w:qFormat/>
    <w:uiPriority w:val="0"/>
    <w:rPr>
      <w:kern w:val="2"/>
      <w:sz w:val="24"/>
    </w:rPr>
  </w:style>
  <w:style w:type="character" w:customStyle="1" w:styleId="209">
    <w:name w:val="标题 5 Char1"/>
    <w:qFormat/>
    <w:uiPriority w:val="0"/>
    <w:rPr>
      <w:rFonts w:ascii="Times New Roman" w:hAnsi="Times New Roman"/>
      <w:b/>
      <w:kern w:val="2"/>
      <w:sz w:val="28"/>
    </w:rPr>
  </w:style>
  <w:style w:type="paragraph" w:customStyle="1" w:styleId="210">
    <w:name w:val="Report Level 3"/>
    <w:basedOn w:val="211"/>
    <w:next w:val="212"/>
    <w:qFormat/>
    <w:uiPriority w:val="0"/>
    <w:pPr>
      <w:tabs>
        <w:tab w:val="left" w:pos="1080"/>
        <w:tab w:val="left" w:pos="1889"/>
      </w:tabs>
      <w:spacing w:before="120"/>
      <w:ind w:left="1889" w:hanging="420"/>
      <w:outlineLvl w:val="2"/>
    </w:pPr>
    <w:rPr>
      <w:caps w:val="0"/>
      <w:sz w:val="20"/>
    </w:rPr>
  </w:style>
  <w:style w:type="paragraph" w:customStyle="1" w:styleId="211">
    <w:name w:val="Report Level 1"/>
    <w:basedOn w:val="1"/>
    <w:next w:val="212"/>
    <w:qFormat/>
    <w:uiPriority w:val="0"/>
    <w:pPr>
      <w:keepNext/>
      <w:widowControl/>
      <w:tabs>
        <w:tab w:val="left" w:pos="1080"/>
      </w:tabs>
      <w:spacing w:before="240" w:after="240" w:line="360" w:lineRule="auto"/>
      <w:ind w:left="1080" w:hanging="1080" w:firstLineChars="200"/>
      <w:jc w:val="left"/>
      <w:outlineLvl w:val="0"/>
    </w:pPr>
    <w:rPr>
      <w:rFonts w:ascii="Arial" w:hAnsi="Arial"/>
      <w:b/>
      <w:caps/>
      <w:color w:val="7030A0"/>
      <w:kern w:val="0"/>
      <w:sz w:val="24"/>
      <w:szCs w:val="21"/>
      <w:lang w:val="en-GB"/>
    </w:rPr>
  </w:style>
  <w:style w:type="paragraph" w:customStyle="1" w:styleId="212">
    <w:name w:val="Report Text"/>
    <w:basedOn w:val="1"/>
    <w:qFormat/>
    <w:uiPriority w:val="0"/>
    <w:pPr>
      <w:widowControl/>
      <w:spacing w:after="138"/>
      <w:ind w:left="1080" w:firstLine="200" w:firstLineChars="200"/>
      <w:jc w:val="left"/>
    </w:pPr>
    <w:rPr>
      <w:color w:val="7030A0"/>
      <w:kern w:val="0"/>
      <w:sz w:val="22"/>
      <w:szCs w:val="20"/>
      <w:lang w:val="en-GB" w:eastAsia="en-US"/>
    </w:rPr>
  </w:style>
  <w:style w:type="paragraph" w:customStyle="1" w:styleId="213">
    <w:name w:val="xl41"/>
    <w:basedOn w:val="1"/>
    <w:qFormat/>
    <w:uiPriority w:val="0"/>
    <w:pPr>
      <w:widowControl/>
      <w:spacing w:before="100" w:beforeAutospacing="1" w:after="100" w:afterAutospacing="1"/>
      <w:ind w:firstLine="200" w:firstLineChars="200"/>
      <w:jc w:val="center"/>
      <w:textAlignment w:val="center"/>
    </w:pPr>
    <w:rPr>
      <w:rFonts w:ascii="宋体" w:hAnsi="宋体"/>
      <w:color w:val="7030A0"/>
      <w:kern w:val="0"/>
      <w:szCs w:val="21"/>
    </w:rPr>
  </w:style>
  <w:style w:type="paragraph" w:customStyle="1" w:styleId="21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15">
    <w:name w:val="font6"/>
    <w:basedOn w:val="1"/>
    <w:qFormat/>
    <w:uiPriority w:val="0"/>
    <w:pPr>
      <w:widowControl/>
      <w:spacing w:before="100" w:beforeAutospacing="1" w:after="100" w:afterAutospacing="1"/>
      <w:jc w:val="left"/>
    </w:pPr>
    <w:rPr>
      <w:rFonts w:ascii="宋体" w:hAnsi="宋体"/>
      <w:kern w:val="0"/>
      <w:sz w:val="20"/>
      <w:szCs w:val="20"/>
    </w:rPr>
  </w:style>
  <w:style w:type="paragraph" w:customStyle="1" w:styleId="216">
    <w:name w:val="五级"/>
    <w:basedOn w:val="5"/>
    <w:qFormat/>
    <w:uiPriority w:val="0"/>
    <w:pPr>
      <w:keepNext w:val="0"/>
      <w:keepLines w:val="0"/>
      <w:tabs>
        <w:tab w:val="left" w:pos="851"/>
      </w:tabs>
      <w:spacing w:before="0" w:after="0" w:line="360" w:lineRule="auto"/>
      <w:ind w:left="851" w:hanging="851"/>
      <w:jc w:val="left"/>
    </w:pPr>
    <w:rPr>
      <w:rFonts w:ascii="宋体" w:hAnsi="宋体" w:eastAsia="宋体"/>
      <w:b w:val="0"/>
      <w:color w:val="C00000"/>
      <w:sz w:val="24"/>
    </w:rPr>
  </w:style>
  <w:style w:type="paragraph" w:customStyle="1" w:styleId="21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8">
    <w:name w:val="顺序编号-zlb"/>
    <w:basedOn w:val="219"/>
    <w:qFormat/>
    <w:uiPriority w:val="0"/>
    <w:pPr>
      <w:tabs>
        <w:tab w:val="left" w:pos="0"/>
      </w:tabs>
      <w:ind w:firstLine="425"/>
      <w:outlineLvl w:val="8"/>
    </w:pPr>
  </w:style>
  <w:style w:type="paragraph" w:customStyle="1" w:styleId="219">
    <w:name w:val="级别4"/>
    <w:basedOn w:val="220"/>
    <w:qFormat/>
    <w:uiPriority w:val="0"/>
    <w:pPr>
      <w:tabs>
        <w:tab w:val="left" w:pos="0"/>
      </w:tabs>
      <w:outlineLvl w:val="3"/>
    </w:pPr>
    <w:rPr>
      <w:b w:val="0"/>
      <w:kern w:val="0"/>
    </w:rPr>
  </w:style>
  <w:style w:type="paragraph" w:customStyle="1" w:styleId="220">
    <w:name w:val="级别2"/>
    <w:basedOn w:val="4"/>
    <w:qFormat/>
    <w:uiPriority w:val="0"/>
    <w:pPr>
      <w:keepNext w:val="0"/>
      <w:keepLines w:val="0"/>
      <w:tabs>
        <w:tab w:val="left" w:pos="0"/>
        <w:tab w:val="clear" w:pos="1440"/>
      </w:tabs>
      <w:adjustRightInd w:val="0"/>
      <w:snapToGrid w:val="0"/>
      <w:spacing w:before="0" w:after="0" w:line="360" w:lineRule="auto"/>
      <w:ind w:left="0" w:firstLine="0"/>
      <w:outlineLvl w:val="1"/>
    </w:pPr>
    <w:rPr>
      <w:rFonts w:ascii="宋体" w:hAnsi="宋体"/>
      <w:bCs w:val="0"/>
      <w:sz w:val="24"/>
      <w:szCs w:val="24"/>
    </w:rPr>
  </w:style>
  <w:style w:type="paragraph" w:customStyle="1" w:styleId="221">
    <w:name w:val="contentartic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22">
    <w:name w:val="六级标题格式"/>
    <w:basedOn w:val="1"/>
    <w:qFormat/>
    <w:uiPriority w:val="0"/>
    <w:pPr>
      <w:spacing w:afterLines="50" w:line="336" w:lineRule="auto"/>
      <w:ind w:firstLine="200" w:firstLineChars="200"/>
      <w:jc w:val="left"/>
      <w:outlineLvl w:val="5"/>
    </w:pPr>
    <w:rPr>
      <w:color w:val="7030A0"/>
      <w:sz w:val="24"/>
    </w:rPr>
  </w:style>
  <w:style w:type="paragraph" w:customStyle="1" w:styleId="223">
    <w:name w:val="修订1"/>
    <w:qFormat/>
    <w:uiPriority w:val="0"/>
    <w:rPr>
      <w:rFonts w:ascii="Times New Roman" w:hAnsi="Times New Roman" w:eastAsia="宋体" w:cs="Times New Roman"/>
      <w:kern w:val="2"/>
      <w:sz w:val="21"/>
      <w:lang w:val="en-US" w:eastAsia="zh-CN" w:bidi="ar-SA"/>
    </w:rPr>
  </w:style>
  <w:style w:type="paragraph" w:customStyle="1" w:styleId="224">
    <w:name w:val="*"/>
    <w:basedOn w:val="1"/>
    <w:qFormat/>
    <w:uiPriority w:val="0"/>
    <w:pPr>
      <w:spacing w:line="360" w:lineRule="auto"/>
    </w:pPr>
    <w:rPr>
      <w:rFonts w:ascii="宋体" w:hAnsi="宋体"/>
      <w:kern w:val="0"/>
      <w:sz w:val="24"/>
    </w:rPr>
  </w:style>
  <w:style w:type="paragraph" w:customStyle="1" w:styleId="225">
    <w:name w:val="1"/>
    <w:basedOn w:val="1"/>
    <w:next w:val="65"/>
    <w:qFormat/>
    <w:uiPriority w:val="0"/>
    <w:pPr>
      <w:spacing w:after="120" w:line="480" w:lineRule="auto"/>
      <w:ind w:firstLine="200" w:firstLineChars="200"/>
      <w:jc w:val="left"/>
    </w:pPr>
    <w:rPr>
      <w:color w:val="7030A0"/>
    </w:rPr>
  </w:style>
  <w:style w:type="paragraph" w:customStyle="1" w:styleId="226">
    <w:name w:val="样式 标题 2标题 1.1编号标题2head:2#2 headlinehheadlineS&amp;R2ERMH2He..."/>
    <w:basedOn w:val="5"/>
    <w:qFormat/>
    <w:uiPriority w:val="0"/>
    <w:pPr>
      <w:keepNext w:val="0"/>
      <w:keepLines w:val="0"/>
      <w:spacing w:before="120" w:after="120" w:line="500" w:lineRule="exact"/>
      <w:jc w:val="left"/>
    </w:pPr>
    <w:rPr>
      <w:rFonts w:cs="宋体"/>
      <w:color w:val="C00000"/>
      <w:kern w:val="44"/>
      <w:sz w:val="28"/>
      <w:szCs w:val="20"/>
    </w:rPr>
  </w:style>
  <w:style w:type="paragraph" w:customStyle="1" w:styleId="227">
    <w:name w:val="文档正文"/>
    <w:basedOn w:val="1"/>
    <w:qFormat/>
    <w:uiPriority w:val="0"/>
    <w:pPr>
      <w:spacing w:line="360" w:lineRule="auto"/>
      <w:ind w:firstLine="200" w:firstLineChars="200"/>
    </w:pPr>
    <w:rPr>
      <w:rFonts w:ascii="宋体" w:hAnsi="宋体"/>
      <w:sz w:val="24"/>
    </w:rPr>
  </w:style>
  <w:style w:type="paragraph" w:customStyle="1" w:styleId="22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9">
    <w:name w:val="Char Char Char Char Char"/>
    <w:basedOn w:val="1"/>
    <w:qFormat/>
    <w:uiPriority w:val="0"/>
    <w:pPr>
      <w:ind w:firstLine="200" w:firstLineChars="200"/>
      <w:jc w:val="left"/>
    </w:pPr>
    <w:rPr>
      <w:rFonts w:ascii="Tahoma" w:hAnsi="Tahoma"/>
      <w:color w:val="7030A0"/>
      <w:sz w:val="24"/>
      <w:szCs w:val="20"/>
    </w:rPr>
  </w:style>
  <w:style w:type="paragraph" w:customStyle="1" w:styleId="230">
    <w:name w:val="样式 标题 1 + 黑体 三号 非加粗 居中 段前: 6 磅 段后: 6 磅 行距: 固定值 20 磅"/>
    <w:basedOn w:val="4"/>
    <w:qFormat/>
    <w:uiPriority w:val="0"/>
    <w:pPr>
      <w:tabs>
        <w:tab w:val="clear" w:pos="1440"/>
      </w:tabs>
      <w:spacing w:before="120" w:after="120" w:line="400" w:lineRule="exact"/>
      <w:ind w:left="0" w:firstLine="0"/>
      <w:jc w:val="center"/>
    </w:pPr>
    <w:rPr>
      <w:rFonts w:ascii="黑体" w:hAnsi="黑体" w:eastAsia="黑体" w:cs="宋体"/>
      <w:b w:val="0"/>
      <w:bCs w:val="0"/>
      <w:sz w:val="32"/>
      <w:szCs w:val="20"/>
    </w:rPr>
  </w:style>
  <w:style w:type="paragraph" w:customStyle="1" w:styleId="231">
    <w:name w:val="xl60"/>
    <w:basedOn w:val="1"/>
    <w:qFormat/>
    <w:uiPriority w:val="0"/>
    <w:pPr>
      <w:widowControl/>
      <w:pBdr>
        <w:top w:val="single" w:color="auto" w:sz="4" w:space="0"/>
        <w:left w:val="single" w:color="auto" w:sz="4" w:space="0"/>
        <w:bottom w:val="single" w:color="auto" w:sz="4" w:space="0"/>
      </w:pBdr>
      <w:spacing w:before="100" w:after="100"/>
      <w:ind w:firstLine="200" w:firstLineChars="200"/>
      <w:jc w:val="center"/>
      <w:textAlignment w:val="center"/>
    </w:pPr>
    <w:rPr>
      <w:rFonts w:eastAsia="Times New Roman"/>
      <w:color w:val="7030A0"/>
      <w:kern w:val="0"/>
      <w:szCs w:val="20"/>
    </w:rPr>
  </w:style>
  <w:style w:type="paragraph" w:customStyle="1" w:styleId="232">
    <w:name w:val="正文2"/>
    <w:basedOn w:val="29"/>
    <w:qFormat/>
    <w:uiPriority w:val="0"/>
    <w:pPr>
      <w:ind w:firstLine="480" w:firstLineChars="200"/>
      <w:jc w:val="left"/>
    </w:pPr>
    <w:rPr>
      <w:rFonts w:ascii="宋体"/>
      <w:color w:val="7030A0"/>
      <w:szCs w:val="24"/>
    </w:rPr>
  </w:style>
  <w:style w:type="paragraph" w:customStyle="1" w:styleId="233">
    <w:name w:val="正文文本 21"/>
    <w:basedOn w:val="1"/>
    <w:qFormat/>
    <w:uiPriority w:val="0"/>
    <w:pPr>
      <w:autoSpaceDE w:val="0"/>
      <w:autoSpaceDN w:val="0"/>
      <w:adjustRightInd w:val="0"/>
      <w:ind w:left="525" w:firstLine="525" w:firstLineChars="200"/>
      <w:jc w:val="left"/>
      <w:textAlignment w:val="baseline"/>
    </w:pPr>
    <w:rPr>
      <w:color w:val="7030A0"/>
      <w:szCs w:val="20"/>
    </w:rPr>
  </w:style>
  <w:style w:type="paragraph" w:customStyle="1" w:styleId="234">
    <w:name w:val="标书正文1"/>
    <w:basedOn w:val="1"/>
    <w:qFormat/>
    <w:uiPriority w:val="0"/>
    <w:pPr>
      <w:tabs>
        <w:tab w:val="left" w:pos="1438"/>
      </w:tabs>
      <w:spacing w:before="100" w:after="100" w:line="360" w:lineRule="auto"/>
      <w:ind w:left="1438" w:hanging="720"/>
    </w:pPr>
    <w:rPr>
      <w:rFonts w:ascii="宋体" w:hAnsi="宋体"/>
    </w:rPr>
  </w:style>
  <w:style w:type="paragraph" w:customStyle="1" w:styleId="235">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36">
    <w:name w:val="二级条标题"/>
    <w:basedOn w:val="237"/>
    <w:next w:val="1"/>
    <w:qFormat/>
    <w:uiPriority w:val="0"/>
    <w:pPr>
      <w:tabs>
        <w:tab w:val="left" w:pos="425"/>
        <w:tab w:val="left" w:pos="525"/>
      </w:tabs>
      <w:ind w:firstLine="0" w:firstLineChars="0"/>
      <w:outlineLvl w:val="3"/>
    </w:pPr>
  </w:style>
  <w:style w:type="paragraph" w:customStyle="1" w:styleId="237">
    <w:name w:val="一级条标题"/>
    <w:basedOn w:val="1"/>
    <w:next w:val="1"/>
    <w:qFormat/>
    <w:uiPriority w:val="0"/>
    <w:pPr>
      <w:widowControl/>
      <w:tabs>
        <w:tab w:val="left" w:pos="425"/>
        <w:tab w:val="left" w:pos="525"/>
      </w:tabs>
      <w:ind w:left="425" w:hanging="425" w:firstLineChars="200"/>
      <w:jc w:val="left"/>
      <w:outlineLvl w:val="2"/>
    </w:pPr>
    <w:rPr>
      <w:rFonts w:ascii="黑体" w:eastAsia="黑体"/>
      <w:color w:val="7030A0"/>
      <w:kern w:val="0"/>
      <w:szCs w:val="20"/>
    </w:rPr>
  </w:style>
  <w:style w:type="paragraph" w:customStyle="1" w:styleId="238">
    <w:name w:val="xl44"/>
    <w:basedOn w:val="1"/>
    <w:qFormat/>
    <w:uiPriority w:val="0"/>
    <w:pPr>
      <w:widowControl/>
      <w:pBdr>
        <w:right w:val="single" w:color="auto" w:sz="4" w:space="0"/>
      </w:pBdr>
      <w:spacing w:before="100" w:after="100"/>
      <w:ind w:firstLine="200" w:firstLineChars="200"/>
      <w:jc w:val="center"/>
    </w:pPr>
    <w:rPr>
      <w:rFonts w:ascii="宋体" w:hAnsi="宋体"/>
      <w:color w:val="7030A0"/>
      <w:kern w:val="0"/>
      <w:sz w:val="24"/>
      <w:szCs w:val="20"/>
    </w:rPr>
  </w:style>
  <w:style w:type="paragraph" w:customStyle="1" w:styleId="239">
    <w:name w:val="正文C"/>
    <w:qFormat/>
    <w:uiPriority w:val="0"/>
    <w:pPr>
      <w:widowControl w:val="0"/>
      <w:adjustRightInd w:val="0"/>
      <w:snapToGrid w:val="0"/>
      <w:spacing w:line="360" w:lineRule="auto"/>
      <w:ind w:right="31" w:rightChars="15" w:firstLine="420" w:firstLineChars="200"/>
      <w:jc w:val="both"/>
    </w:pPr>
    <w:rPr>
      <w:rFonts w:ascii="Times New Roman" w:hAnsi="Times New Roman" w:eastAsia="宋体" w:cs="宋体"/>
      <w:kern w:val="44"/>
      <w:sz w:val="24"/>
      <w:lang w:val="en-US" w:eastAsia="zh-CN" w:bidi="ar-SA"/>
    </w:rPr>
  </w:style>
  <w:style w:type="paragraph" w:customStyle="1" w:styleId="240">
    <w:name w:val="样式 样式 宋体 小四 左侧:  1.85 厘米 段前: 11.15 磅 段后: 11.15 磅 + 图案: 清除 (白色)"/>
    <w:basedOn w:val="1"/>
    <w:qFormat/>
    <w:uiPriority w:val="0"/>
    <w:pPr>
      <w:snapToGrid w:val="0"/>
      <w:ind w:left="1049" w:firstLine="200" w:firstLineChars="200"/>
      <w:jc w:val="left"/>
    </w:pPr>
    <w:rPr>
      <w:color w:val="7030A0"/>
      <w:sz w:val="24"/>
      <w:shd w:val="clear" w:color="auto" w:fill="FFFFFF"/>
    </w:rPr>
  </w:style>
  <w:style w:type="paragraph" w:customStyle="1" w:styleId="241">
    <w:name w:val="列出段落1"/>
    <w:basedOn w:val="1"/>
    <w:qFormat/>
    <w:uiPriority w:val="0"/>
    <w:pPr>
      <w:ind w:firstLine="420" w:firstLineChars="200"/>
    </w:pPr>
    <w:rPr>
      <w:szCs w:val="20"/>
    </w:rPr>
  </w:style>
  <w:style w:type="paragraph" w:customStyle="1" w:styleId="242">
    <w:name w:val="样式1"/>
    <w:basedOn w:val="50"/>
    <w:next w:val="1"/>
    <w:qFormat/>
    <w:uiPriority w:val="0"/>
    <w:pPr>
      <w:jc w:val="left"/>
    </w:pPr>
  </w:style>
  <w:style w:type="paragraph" w:customStyle="1" w:styleId="243">
    <w:name w:val="1."/>
    <w:basedOn w:val="1"/>
    <w:qFormat/>
    <w:uiPriority w:val="0"/>
    <w:pPr>
      <w:tabs>
        <w:tab w:val="left" w:pos="0"/>
        <w:tab w:val="left" w:pos="426"/>
      </w:tabs>
      <w:adjustRightInd w:val="0"/>
      <w:spacing w:before="60" w:after="60" w:line="360" w:lineRule="atLeast"/>
      <w:ind w:left="426" w:hanging="426" w:firstLineChars="200"/>
      <w:jc w:val="left"/>
      <w:textAlignment w:val="baseline"/>
    </w:pPr>
    <w:rPr>
      <w:rFonts w:ascii="Arial" w:hAnsi="Arial"/>
      <w:color w:val="7030A0"/>
      <w:kern w:val="0"/>
      <w:szCs w:val="20"/>
    </w:rPr>
  </w:style>
  <w:style w:type="paragraph" w:customStyle="1" w:styleId="24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4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46">
    <w:name w:val="正缩2字符"/>
    <w:basedOn w:val="1"/>
    <w:qFormat/>
    <w:uiPriority w:val="0"/>
    <w:pPr>
      <w:spacing w:line="480" w:lineRule="exact"/>
      <w:ind w:firstLine="200" w:firstLineChars="200"/>
    </w:pPr>
    <w:rPr>
      <w:sz w:val="24"/>
    </w:rPr>
  </w:style>
  <w:style w:type="paragraph" w:customStyle="1" w:styleId="247">
    <w:name w:val="招标文件》"/>
    <w:basedOn w:val="248"/>
    <w:qFormat/>
    <w:uiPriority w:val="0"/>
    <w:pPr>
      <w:tabs>
        <w:tab w:val="left" w:pos="560"/>
      </w:tabs>
      <w:ind w:left="200" w:firstLine="0" w:firstLineChars="0"/>
    </w:pPr>
  </w:style>
  <w:style w:type="paragraph" w:customStyle="1" w:styleId="248">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49">
    <w:name w:val="Char Char Char Char Char Char Char Char1"/>
    <w:basedOn w:val="1"/>
    <w:qFormat/>
    <w:uiPriority w:val="0"/>
    <w:pPr>
      <w:ind w:firstLine="200" w:firstLineChars="200"/>
      <w:jc w:val="left"/>
    </w:pPr>
    <w:rPr>
      <w:rFonts w:ascii="Tahoma" w:hAnsi="Tahoma"/>
      <w:color w:val="7030A0"/>
      <w:sz w:val="24"/>
      <w:szCs w:val="20"/>
    </w:rPr>
  </w:style>
  <w:style w:type="paragraph" w:customStyle="1" w:styleId="250">
    <w:name w:val="级别5"/>
    <w:basedOn w:val="219"/>
    <w:qFormat/>
    <w:uiPriority w:val="0"/>
    <w:pPr>
      <w:outlineLvl w:val="4"/>
    </w:pPr>
  </w:style>
  <w:style w:type="paragraph" w:customStyle="1" w:styleId="251">
    <w:name w:val="样式 标题 4 + 段前: 自动"/>
    <w:basedOn w:val="2"/>
    <w:qFormat/>
    <w:uiPriority w:val="0"/>
    <w:pPr>
      <w:tabs>
        <w:tab w:val="left" w:pos="1062"/>
      </w:tabs>
      <w:spacing w:beforeLines="50" w:after="0" w:line="400" w:lineRule="exact"/>
      <w:ind w:left="1062" w:hanging="864"/>
    </w:pPr>
    <w:rPr>
      <w:rFonts w:ascii="宋体" w:hAnsi="Arial" w:cs="宋体"/>
      <w:sz w:val="24"/>
      <w:szCs w:val="24"/>
    </w:rPr>
  </w:style>
  <w:style w:type="paragraph" w:customStyle="1" w:styleId="252">
    <w:name w:val="样式 样式 列表框 Char Char Char Char Char + 段后: 0.5 行 + 左侧:  6 字符 首行缩进..."/>
    <w:basedOn w:val="253"/>
    <w:qFormat/>
    <w:uiPriority w:val="0"/>
    <w:pPr>
      <w:tabs>
        <w:tab w:val="left" w:pos="420"/>
        <w:tab w:val="left" w:pos="2297"/>
      </w:tabs>
      <w:ind w:left="2297" w:leftChars="0" w:hanging="420" w:firstLineChars="0"/>
    </w:pPr>
  </w:style>
  <w:style w:type="paragraph" w:customStyle="1" w:styleId="253">
    <w:name w:val="样式 列表框 Char Char Char Char Char + 段后: 0.5 行"/>
    <w:basedOn w:val="254"/>
    <w:qFormat/>
    <w:uiPriority w:val="0"/>
    <w:pPr>
      <w:tabs>
        <w:tab w:val="left" w:pos="420"/>
      </w:tabs>
      <w:spacing w:after="156"/>
    </w:pPr>
    <w:rPr>
      <w:szCs w:val="20"/>
    </w:rPr>
  </w:style>
  <w:style w:type="paragraph" w:customStyle="1" w:styleId="254">
    <w:name w:val="正常文本 Char Char Char Char Char Char Char Char Char Char Char Char Char Char"/>
    <w:basedOn w:val="1"/>
    <w:qFormat/>
    <w:uiPriority w:val="0"/>
    <w:pPr>
      <w:spacing w:afterLines="50" w:line="320" w:lineRule="exact"/>
      <w:ind w:left="600" w:leftChars="600" w:firstLine="208" w:firstLineChars="208"/>
      <w:jc w:val="left"/>
    </w:pPr>
    <w:rPr>
      <w:rFonts w:ascii="宋体" w:hAnsi="宋体" w:eastAsia="楷体_GB2312"/>
      <w:color w:val="7030A0"/>
      <w:szCs w:val="18"/>
    </w:rPr>
  </w:style>
  <w:style w:type="paragraph" w:customStyle="1" w:styleId="255">
    <w:name w:val="应答文本"/>
    <w:basedOn w:val="1"/>
    <w:qFormat/>
    <w:uiPriority w:val="0"/>
    <w:pPr>
      <w:adjustRightInd w:val="0"/>
      <w:spacing w:afterLines="50" w:line="320" w:lineRule="exact"/>
      <w:ind w:left="480" w:leftChars="200" w:firstLine="460" w:firstLineChars="200"/>
      <w:jc w:val="left"/>
    </w:pPr>
    <w:rPr>
      <w:rFonts w:ascii="Arial" w:hAnsi="Arial" w:eastAsia="楷体_GB2312" w:cs="宋体"/>
      <w:color w:val="7030A0"/>
      <w:spacing w:val="10"/>
      <w:kern w:val="0"/>
      <w:szCs w:val="20"/>
    </w:rPr>
  </w:style>
  <w:style w:type="paragraph" w:customStyle="1" w:styleId="256">
    <w:name w:val="llp2"/>
    <w:basedOn w:val="1"/>
    <w:qFormat/>
    <w:uiPriority w:val="0"/>
    <w:pPr>
      <w:spacing w:beforeLines="100" w:afterLines="100" w:line="240" w:lineRule="atLeast"/>
      <w:ind w:firstLine="200" w:firstLineChars="200"/>
      <w:jc w:val="left"/>
      <w:outlineLvl w:val="1"/>
    </w:pPr>
    <w:rPr>
      <w:rFonts w:eastAsia="黑体"/>
      <w:color w:val="7030A0"/>
      <w:sz w:val="32"/>
      <w:szCs w:val="32"/>
    </w:rPr>
  </w:style>
  <w:style w:type="paragraph" w:customStyle="1" w:styleId="25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58">
    <w:name w:val="五级条标题"/>
    <w:basedOn w:val="259"/>
    <w:next w:val="1"/>
    <w:qFormat/>
    <w:uiPriority w:val="0"/>
    <w:pPr>
      <w:tabs>
        <w:tab w:val="left" w:pos="425"/>
        <w:tab w:val="left" w:pos="525"/>
      </w:tabs>
      <w:outlineLvl w:val="6"/>
    </w:pPr>
  </w:style>
  <w:style w:type="paragraph" w:customStyle="1" w:styleId="259">
    <w:name w:val="四级条标题"/>
    <w:basedOn w:val="260"/>
    <w:next w:val="1"/>
    <w:qFormat/>
    <w:uiPriority w:val="0"/>
    <w:pPr>
      <w:tabs>
        <w:tab w:val="left" w:pos="425"/>
        <w:tab w:val="left" w:pos="525"/>
      </w:tabs>
      <w:outlineLvl w:val="5"/>
    </w:pPr>
  </w:style>
  <w:style w:type="paragraph" w:customStyle="1" w:styleId="260">
    <w:name w:val="三级条标题"/>
    <w:basedOn w:val="236"/>
    <w:next w:val="1"/>
    <w:qFormat/>
    <w:uiPriority w:val="0"/>
    <w:pPr>
      <w:outlineLvl w:val="4"/>
    </w:pPr>
  </w:style>
  <w:style w:type="paragraph" w:customStyle="1" w:styleId="261">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62">
    <w:name w:val="纯文本1"/>
    <w:basedOn w:val="1"/>
    <w:qFormat/>
    <w:uiPriority w:val="0"/>
    <w:pPr>
      <w:adjustRightInd w:val="0"/>
      <w:spacing w:line="312" w:lineRule="atLeast"/>
      <w:ind w:firstLine="567" w:firstLineChars="200"/>
      <w:jc w:val="left"/>
      <w:textAlignment w:val="baseline"/>
    </w:pPr>
    <w:rPr>
      <w:rFonts w:ascii="宋体" w:hAnsi="Courier New"/>
      <w:color w:val="7030A0"/>
      <w:kern w:val="0"/>
      <w:sz w:val="28"/>
    </w:rPr>
  </w:style>
  <w:style w:type="paragraph" w:customStyle="1" w:styleId="263">
    <w:name w:val="xl56"/>
    <w:basedOn w:val="1"/>
    <w:qFormat/>
    <w:uiPriority w:val="0"/>
    <w:pPr>
      <w:widowControl/>
      <w:pBdr>
        <w:top w:val="single" w:color="auto" w:sz="4" w:space="0"/>
      </w:pBdr>
      <w:spacing w:before="100" w:after="100"/>
      <w:ind w:firstLine="200" w:firstLineChars="200"/>
      <w:jc w:val="center"/>
      <w:textAlignment w:val="center"/>
    </w:pPr>
    <w:rPr>
      <w:rFonts w:ascii="Arial Unicode MS" w:hAnsi="Arial Unicode MS" w:eastAsia="Times New Roman"/>
      <w:color w:val="7030A0"/>
      <w:kern w:val="0"/>
      <w:szCs w:val="20"/>
    </w:rPr>
  </w:style>
  <w:style w:type="paragraph" w:customStyle="1" w:styleId="264">
    <w:name w:val="专用"/>
    <w:basedOn w:val="1"/>
    <w:qFormat/>
    <w:uiPriority w:val="0"/>
    <w:pPr>
      <w:spacing w:afterLines="100"/>
      <w:ind w:left="838" w:hanging="838" w:hangingChars="262"/>
    </w:pPr>
    <w:rPr>
      <w:rFonts w:ascii="宋体"/>
      <w:b/>
      <w:color w:val="000000"/>
      <w:sz w:val="32"/>
      <w:szCs w:val="20"/>
    </w:rPr>
  </w:style>
  <w:style w:type="paragraph" w:customStyle="1" w:styleId="265">
    <w:name w:val="Table Paragraph"/>
    <w:basedOn w:val="1"/>
    <w:qFormat/>
    <w:uiPriority w:val="0"/>
  </w:style>
  <w:style w:type="paragraph" w:customStyle="1" w:styleId="266">
    <w:name w:val="正文文本缩进 31"/>
    <w:basedOn w:val="1"/>
    <w:qFormat/>
    <w:uiPriority w:val="0"/>
    <w:pPr>
      <w:autoSpaceDE w:val="0"/>
      <w:autoSpaceDN w:val="0"/>
      <w:adjustRightInd w:val="0"/>
      <w:ind w:firstLine="525" w:firstLineChars="200"/>
      <w:jc w:val="left"/>
      <w:textAlignment w:val="baseline"/>
    </w:pPr>
    <w:rPr>
      <w:color w:val="7030A0"/>
      <w:sz w:val="24"/>
      <w:szCs w:val="20"/>
    </w:rPr>
  </w:style>
  <w:style w:type="paragraph" w:customStyle="1" w:styleId="267">
    <w:name w:val="招标文件A）"/>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26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69">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70">
    <w:name w:val="级别3"/>
    <w:basedOn w:val="220"/>
    <w:qFormat/>
    <w:uiPriority w:val="0"/>
    <w:pPr>
      <w:ind w:firstLine="425"/>
      <w:outlineLvl w:val="2"/>
    </w:pPr>
    <w:rPr>
      <w:b w:val="0"/>
    </w:rPr>
  </w:style>
  <w:style w:type="paragraph" w:customStyle="1" w:styleId="271">
    <w:name w:val="样式3"/>
    <w:basedOn w:val="6"/>
    <w:next w:val="1"/>
    <w:qFormat/>
    <w:uiPriority w:val="0"/>
    <w:pPr>
      <w:tabs>
        <w:tab w:val="left" w:pos="709"/>
      </w:tabs>
      <w:spacing w:before="0" w:after="0" w:line="240" w:lineRule="auto"/>
      <w:ind w:left="709" w:hanging="709"/>
      <w:jc w:val="left"/>
    </w:pPr>
    <w:rPr>
      <w:rFonts w:ascii="Tahoma" w:hAnsi="Tahoma"/>
      <w:b w:val="0"/>
      <w:bCs w:val="0"/>
      <w:sz w:val="28"/>
      <w:szCs w:val="20"/>
    </w:rPr>
  </w:style>
  <w:style w:type="paragraph" w:customStyle="1" w:styleId="272">
    <w:name w:val="xl59"/>
    <w:basedOn w:val="1"/>
    <w:qFormat/>
    <w:uiPriority w:val="0"/>
    <w:pPr>
      <w:widowControl/>
      <w:pBdr>
        <w:bottom w:val="single" w:color="auto" w:sz="4" w:space="0"/>
      </w:pBdr>
      <w:spacing w:before="100" w:after="100"/>
      <w:ind w:firstLine="200" w:firstLineChars="200"/>
      <w:jc w:val="center"/>
      <w:textAlignment w:val="center"/>
    </w:pPr>
    <w:rPr>
      <w:rFonts w:ascii="Arial Unicode MS" w:hAnsi="Arial Unicode MS" w:eastAsia="Times New Roman"/>
      <w:color w:val="7030A0"/>
      <w:kern w:val="0"/>
      <w:szCs w:val="20"/>
    </w:rPr>
  </w:style>
  <w:style w:type="paragraph" w:customStyle="1" w:styleId="273">
    <w:name w:val="Sprechblasentext"/>
    <w:basedOn w:val="1"/>
    <w:qFormat/>
    <w:uiPriority w:val="0"/>
    <w:pPr>
      <w:spacing w:line="300" w:lineRule="atLeast"/>
      <w:ind w:firstLine="709"/>
    </w:pPr>
    <w:rPr>
      <w:rFonts w:ascii="Tahoma" w:hAnsi="Tahoma" w:cs="Tahoma"/>
      <w:sz w:val="16"/>
      <w:szCs w:val="16"/>
    </w:rPr>
  </w:style>
  <w:style w:type="paragraph" w:customStyle="1" w:styleId="27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0"/>
      <w:szCs w:val="20"/>
    </w:rPr>
  </w:style>
  <w:style w:type="paragraph" w:customStyle="1" w:styleId="275">
    <w:name w:val="xl57"/>
    <w:basedOn w:val="1"/>
    <w:qFormat/>
    <w:uiPriority w:val="0"/>
    <w:pPr>
      <w:widowControl/>
      <w:pBdr>
        <w:top w:val="single" w:color="auto" w:sz="4" w:space="0"/>
        <w:right w:val="single" w:color="auto" w:sz="4" w:space="0"/>
      </w:pBdr>
      <w:spacing w:before="100" w:after="100"/>
      <w:ind w:firstLine="200" w:firstLineChars="200"/>
      <w:jc w:val="center"/>
      <w:textAlignment w:val="center"/>
    </w:pPr>
    <w:rPr>
      <w:rFonts w:ascii="Arial Unicode MS" w:hAnsi="Arial Unicode MS" w:eastAsia="Times New Roman"/>
      <w:color w:val="7030A0"/>
      <w:kern w:val="0"/>
      <w:szCs w:val="20"/>
    </w:rPr>
  </w:style>
  <w:style w:type="paragraph" w:customStyle="1" w:styleId="276">
    <w:name w:val="xl49"/>
    <w:basedOn w:val="1"/>
    <w:qFormat/>
    <w:uiPriority w:val="0"/>
    <w:pPr>
      <w:widowControl/>
      <w:pBdr>
        <w:top w:val="single" w:color="auto" w:sz="4" w:space="0"/>
        <w:left w:val="single" w:color="auto" w:sz="4" w:space="0"/>
        <w:bottom w:val="single" w:color="auto" w:sz="4" w:space="0"/>
      </w:pBdr>
      <w:spacing w:before="100" w:after="100"/>
      <w:ind w:firstLine="200" w:firstLineChars="200"/>
      <w:jc w:val="center"/>
    </w:pPr>
    <w:rPr>
      <w:rFonts w:ascii="Arial Unicode MS" w:hAnsi="Arial Unicode MS" w:eastAsia="Times New Roman"/>
      <w:color w:val="7030A0"/>
      <w:kern w:val="0"/>
      <w:szCs w:val="20"/>
    </w:rPr>
  </w:style>
  <w:style w:type="paragraph" w:customStyle="1" w:styleId="277">
    <w:name w:val="註解方塊文字"/>
    <w:basedOn w:val="1"/>
    <w:qFormat/>
    <w:uiPriority w:val="0"/>
    <w:pPr>
      <w:widowControl/>
      <w:jc w:val="left"/>
    </w:pPr>
    <w:rPr>
      <w:rFonts w:ascii="Arial" w:hAnsi="Arial" w:eastAsia="PMingLiU"/>
      <w:kern w:val="0"/>
      <w:sz w:val="18"/>
      <w:szCs w:val="18"/>
      <w:lang w:eastAsia="zh-HK"/>
    </w:rPr>
  </w:style>
  <w:style w:type="paragraph" w:customStyle="1" w:styleId="278">
    <w:name w:val="Char2"/>
    <w:basedOn w:val="1"/>
    <w:qFormat/>
    <w:uiPriority w:val="0"/>
    <w:pPr>
      <w:widowControl/>
      <w:spacing w:after="160" w:line="240" w:lineRule="exact"/>
      <w:ind w:firstLine="200" w:firstLineChars="200"/>
      <w:jc w:val="left"/>
    </w:pPr>
    <w:rPr>
      <w:rFonts w:ascii="Verdana" w:hAnsi="Verdana" w:eastAsia="仿宋_GB2312"/>
      <w:color w:val="7030A0"/>
      <w:kern w:val="0"/>
      <w:sz w:val="24"/>
      <w:szCs w:val="20"/>
      <w:lang w:eastAsia="en-US"/>
    </w:rPr>
  </w:style>
  <w:style w:type="paragraph" w:customStyle="1" w:styleId="279">
    <w:name w:val="图1"/>
    <w:basedOn w:val="1"/>
    <w:next w:val="1"/>
    <w:qFormat/>
    <w:uiPriority w:val="0"/>
    <w:pPr>
      <w:tabs>
        <w:tab w:val="left" w:pos="1440"/>
      </w:tabs>
      <w:spacing w:beforeLines="50" w:afterLines="100" w:line="360" w:lineRule="auto"/>
      <w:ind w:left="1105" w:hanging="748"/>
      <w:jc w:val="center"/>
    </w:pPr>
    <w:rPr>
      <w:kern w:val="0"/>
    </w:rPr>
  </w:style>
  <w:style w:type="paragraph" w:customStyle="1" w:styleId="280">
    <w:name w:val="默认段落字体 Para Char Char Char Char Char Char Char"/>
    <w:basedOn w:val="1"/>
    <w:qFormat/>
    <w:uiPriority w:val="0"/>
    <w:pPr>
      <w:tabs>
        <w:tab w:val="left" w:pos="4665"/>
        <w:tab w:val="left" w:pos="8970"/>
      </w:tabs>
      <w:ind w:firstLine="400"/>
    </w:pPr>
    <w:rPr>
      <w:szCs w:val="20"/>
    </w:rPr>
  </w:style>
  <w:style w:type="paragraph" w:customStyle="1" w:styleId="281">
    <w:name w:val="List Paragraph1"/>
    <w:basedOn w:val="1"/>
    <w:qFormat/>
    <w:uiPriority w:val="0"/>
    <w:pPr>
      <w:ind w:firstLine="420" w:firstLineChars="200"/>
    </w:pPr>
  </w:style>
  <w:style w:type="paragraph" w:customStyle="1" w:styleId="282">
    <w:name w:val="无间隔1"/>
    <w:qFormat/>
    <w:uiPriority w:val="0"/>
    <w:pPr>
      <w:widowControl w:val="0"/>
      <w:ind w:firstLine="200" w:firstLineChars="200"/>
    </w:pPr>
    <w:rPr>
      <w:rFonts w:ascii="Times New Roman" w:hAnsi="Times New Roman" w:eastAsia="宋体" w:cs="Times New Roman"/>
      <w:color w:val="7030A0"/>
      <w:kern w:val="2"/>
      <w:sz w:val="24"/>
      <w:szCs w:val="24"/>
      <w:lang w:val="en-US" w:eastAsia="zh-CN" w:bidi="ar-SA"/>
    </w:rPr>
  </w:style>
  <w:style w:type="paragraph" w:customStyle="1" w:styleId="283">
    <w:name w:val="Plain Text2"/>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284">
    <w:name w:val="图名图序"/>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285">
    <w:name w:val="xl58"/>
    <w:basedOn w:val="1"/>
    <w:qFormat/>
    <w:uiPriority w:val="0"/>
    <w:pPr>
      <w:widowControl/>
      <w:pBdr>
        <w:left w:val="single" w:color="auto" w:sz="4" w:space="0"/>
        <w:bottom w:val="single" w:color="auto" w:sz="4" w:space="0"/>
      </w:pBdr>
      <w:spacing w:before="100" w:after="100"/>
      <w:ind w:firstLine="200" w:firstLineChars="200"/>
      <w:jc w:val="center"/>
      <w:textAlignment w:val="center"/>
    </w:pPr>
    <w:rPr>
      <w:rFonts w:ascii="Arial Unicode MS" w:hAnsi="Arial Unicode MS" w:eastAsia="Times New Roman"/>
      <w:color w:val="7030A0"/>
      <w:kern w:val="0"/>
      <w:szCs w:val="20"/>
    </w:rPr>
  </w:style>
  <w:style w:type="paragraph" w:customStyle="1" w:styleId="286">
    <w:name w:val="表格正文"/>
    <w:basedOn w:val="1"/>
    <w:next w:val="1"/>
    <w:qFormat/>
    <w:uiPriority w:val="0"/>
    <w:pPr>
      <w:adjustRightInd w:val="0"/>
      <w:snapToGrid w:val="0"/>
      <w:jc w:val="center"/>
    </w:pPr>
    <w:rPr>
      <w:color w:val="548DD4"/>
    </w:rPr>
  </w:style>
  <w:style w:type="paragraph" w:customStyle="1" w:styleId="287">
    <w:name w:val="首行缩进"/>
    <w:basedOn w:val="1"/>
    <w:qFormat/>
    <w:uiPriority w:val="0"/>
    <w:pPr>
      <w:ind w:firstLine="480" w:firstLineChars="200"/>
    </w:pPr>
  </w:style>
  <w:style w:type="paragraph" w:customStyle="1" w:styleId="288">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289">
    <w:name w:val="标准"/>
    <w:basedOn w:val="1"/>
    <w:qFormat/>
    <w:uiPriority w:val="0"/>
    <w:pPr>
      <w:adjustRightInd w:val="0"/>
      <w:spacing w:line="312" w:lineRule="atLeast"/>
      <w:jc w:val="center"/>
      <w:textAlignment w:val="baseline"/>
    </w:pPr>
    <w:rPr>
      <w:kern w:val="24"/>
      <w:sz w:val="24"/>
    </w:rPr>
  </w:style>
  <w:style w:type="paragraph" w:customStyle="1" w:styleId="290">
    <w:name w:val="批注框文本1"/>
    <w:basedOn w:val="1"/>
    <w:qFormat/>
    <w:uiPriority w:val="0"/>
    <w:rPr>
      <w:sz w:val="16"/>
      <w:szCs w:val="16"/>
    </w:rPr>
  </w:style>
  <w:style w:type="paragraph" w:customStyle="1" w:styleId="291">
    <w:name w:val="二级标题"/>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29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93">
    <w:name w:val="列表框1"/>
    <w:basedOn w:val="255"/>
    <w:next w:val="255"/>
    <w:qFormat/>
    <w:uiPriority w:val="0"/>
    <w:pPr>
      <w:tabs>
        <w:tab w:val="left" w:pos="960"/>
        <w:tab w:val="left" w:pos="1314"/>
      </w:tabs>
      <w:snapToGrid w:val="0"/>
      <w:ind w:left="1328" w:leftChars="397" w:hanging="375" w:hangingChars="163"/>
    </w:pPr>
    <w:rPr>
      <w:rFonts w:cs="Arial"/>
    </w:rPr>
  </w:style>
  <w:style w:type="paragraph" w:customStyle="1" w:styleId="29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95">
    <w:name w:val="标题4"/>
    <w:basedOn w:val="1"/>
    <w:next w:val="1"/>
    <w:qFormat/>
    <w:uiPriority w:val="0"/>
    <w:pPr>
      <w:keepNext/>
      <w:spacing w:line="360" w:lineRule="auto"/>
      <w:ind w:firstLine="200" w:firstLineChars="200"/>
      <w:jc w:val="left"/>
      <w:outlineLvl w:val="3"/>
    </w:pPr>
    <w:rPr>
      <w:b/>
      <w:kern w:val="0"/>
      <w:sz w:val="30"/>
    </w:rPr>
  </w:style>
  <w:style w:type="paragraph" w:customStyle="1" w:styleId="296">
    <w:name w:val="一"/>
    <w:basedOn w:val="4"/>
    <w:qFormat/>
    <w:uiPriority w:val="0"/>
    <w:pPr>
      <w:keepNext w:val="0"/>
      <w:keepLines w:val="0"/>
      <w:autoSpaceDE w:val="0"/>
      <w:autoSpaceDN w:val="0"/>
      <w:adjustRightInd w:val="0"/>
      <w:spacing w:before="0" w:after="0" w:line="360" w:lineRule="auto"/>
      <w:jc w:val="left"/>
    </w:pPr>
    <w:rPr>
      <w:rFonts w:ascii="宋体" w:hAnsi="宋体"/>
      <w:kern w:val="0"/>
      <w:sz w:val="28"/>
      <w:szCs w:val="20"/>
    </w:rPr>
  </w:style>
  <w:style w:type="paragraph" w:customStyle="1" w:styleId="297">
    <w:name w:val="附图 BJ8"/>
    <w:basedOn w:val="1"/>
    <w:qFormat/>
    <w:uiPriority w:val="0"/>
    <w:pPr>
      <w:adjustRightInd w:val="0"/>
      <w:snapToGrid w:val="0"/>
      <w:ind w:firstLine="200" w:firstLineChars="200"/>
      <w:jc w:val="center"/>
    </w:pPr>
    <w:rPr>
      <w:rFonts w:hAnsi="Arial"/>
      <w:color w:val="7030A0"/>
      <w:kern w:val="0"/>
    </w:rPr>
  </w:style>
  <w:style w:type="paragraph" w:customStyle="1" w:styleId="298">
    <w:name w:val="表格文字格式"/>
    <w:basedOn w:val="1"/>
    <w:qFormat/>
    <w:uiPriority w:val="0"/>
    <w:pPr>
      <w:snapToGrid w:val="0"/>
      <w:jc w:val="center"/>
    </w:pPr>
    <w:rPr>
      <w:rFonts w:cs="宋体"/>
      <w:szCs w:val="20"/>
    </w:rPr>
  </w:style>
  <w:style w:type="paragraph" w:customStyle="1" w:styleId="299">
    <w:name w:val="xl55"/>
    <w:basedOn w:val="1"/>
    <w:qFormat/>
    <w:uiPriority w:val="0"/>
    <w:pPr>
      <w:widowControl/>
      <w:pBdr>
        <w:top w:val="single" w:color="auto" w:sz="4" w:space="0"/>
        <w:left w:val="single" w:color="auto" w:sz="4" w:space="0"/>
      </w:pBdr>
      <w:spacing w:before="100" w:after="100"/>
      <w:ind w:firstLine="200" w:firstLineChars="200"/>
      <w:jc w:val="center"/>
      <w:textAlignment w:val="center"/>
    </w:pPr>
    <w:rPr>
      <w:rFonts w:ascii="Arial Unicode MS" w:hAnsi="Arial Unicode MS" w:eastAsia="Times New Roman"/>
      <w:color w:val="7030A0"/>
      <w:kern w:val="0"/>
      <w:szCs w:val="20"/>
    </w:rPr>
  </w:style>
  <w:style w:type="paragraph" w:customStyle="1" w:styleId="300">
    <w:name w:val="样式 样式 列表框 Char Char Char Char Char + 右侧:  -0.05 字符 段后: 0.5 行 + 右..."/>
    <w:basedOn w:val="301"/>
    <w:qFormat/>
    <w:uiPriority w:val="0"/>
    <w:pPr>
      <w:tabs>
        <w:tab w:val="left" w:pos="375"/>
        <w:tab w:val="left" w:pos="450"/>
        <w:tab w:val="left" w:pos="630"/>
        <w:tab w:val="left" w:pos="874"/>
      </w:tabs>
    </w:pPr>
  </w:style>
  <w:style w:type="paragraph" w:customStyle="1" w:styleId="301">
    <w:name w:val="样式 列表框 Char Char Char Char Char + 右侧:  -0.05 字符 段后: 0.5 行"/>
    <w:basedOn w:val="302"/>
    <w:qFormat/>
    <w:uiPriority w:val="0"/>
    <w:pPr>
      <w:tabs>
        <w:tab w:val="left" w:pos="375"/>
        <w:tab w:val="left" w:pos="450"/>
        <w:tab w:val="left" w:pos="874"/>
      </w:tabs>
      <w:ind w:left="0" w:firstLine="0"/>
    </w:pPr>
    <w:rPr>
      <w:szCs w:val="20"/>
    </w:rPr>
  </w:style>
  <w:style w:type="paragraph" w:customStyle="1" w:styleId="302">
    <w:name w:val="列表框 Char Char Char Char Char"/>
    <w:basedOn w:val="254"/>
    <w:next w:val="254"/>
    <w:qFormat/>
    <w:uiPriority w:val="0"/>
    <w:pPr>
      <w:tabs>
        <w:tab w:val="left" w:pos="450"/>
        <w:tab w:val="left" w:pos="874"/>
      </w:tabs>
      <w:adjustRightInd w:val="0"/>
      <w:snapToGrid w:val="0"/>
      <w:ind w:left="874" w:leftChars="0" w:right="-5" w:rightChars="-5" w:hanging="420" w:firstLineChars="0"/>
    </w:pPr>
    <w:rPr>
      <w:rFonts w:ascii="Times New Roman" w:hAnsi="Times New Roman"/>
      <w:szCs w:val="21"/>
    </w:rPr>
  </w:style>
  <w:style w:type="paragraph" w:customStyle="1" w:styleId="303">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304">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305">
    <w:name w:val="附图 BJ15"/>
    <w:basedOn w:val="1"/>
    <w:qFormat/>
    <w:uiPriority w:val="0"/>
    <w:pPr>
      <w:adjustRightInd w:val="0"/>
      <w:snapToGrid w:val="0"/>
      <w:ind w:firstLine="200" w:firstLineChars="200"/>
      <w:jc w:val="center"/>
    </w:pPr>
    <w:rPr>
      <w:rFonts w:hAnsi="Arial"/>
      <w:color w:val="7030A0"/>
      <w:kern w:val="0"/>
    </w:rPr>
  </w:style>
  <w:style w:type="paragraph" w:customStyle="1" w:styleId="306">
    <w:name w:val="样式 左侧:  2 字符 首行缩进:  0.85 厘米"/>
    <w:basedOn w:val="1"/>
    <w:qFormat/>
    <w:uiPriority w:val="0"/>
    <w:pPr>
      <w:adjustRightInd w:val="0"/>
      <w:snapToGrid w:val="0"/>
      <w:spacing w:line="360" w:lineRule="auto"/>
      <w:ind w:firstLine="425" w:firstLineChars="200"/>
      <w:jc w:val="left"/>
    </w:pPr>
    <w:rPr>
      <w:rFonts w:ascii="宋体" w:hAnsi="宋体" w:cs="宋体"/>
      <w:color w:val="7030A0"/>
      <w:szCs w:val="20"/>
    </w:rPr>
  </w:style>
  <w:style w:type="paragraph" w:customStyle="1" w:styleId="307">
    <w:name w:val="大标题"/>
    <w:qFormat/>
    <w:uiPriority w:val="0"/>
    <w:pPr>
      <w:tabs>
        <w:tab w:val="left" w:pos="1134"/>
      </w:tabs>
      <w:snapToGrid w:val="0"/>
      <w:spacing w:before="240" w:after="240" w:line="288" w:lineRule="auto"/>
    </w:pPr>
    <w:rPr>
      <w:rFonts w:ascii="黑体" w:hAnsi="Times New Roman" w:eastAsia="黑体" w:cs="Times New Roman"/>
      <w:sz w:val="24"/>
      <w:lang w:val="en-US" w:eastAsia="zh-CN" w:bidi="ar-SA"/>
    </w:rPr>
  </w:style>
  <w:style w:type="paragraph" w:customStyle="1" w:styleId="308">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309">
    <w:name w:val="xl51"/>
    <w:basedOn w:val="1"/>
    <w:qFormat/>
    <w:uiPriority w:val="0"/>
    <w:pPr>
      <w:widowControl/>
      <w:pBdr>
        <w:top w:val="single" w:color="auto" w:sz="4" w:space="0"/>
        <w:bottom w:val="single" w:color="auto" w:sz="4" w:space="0"/>
        <w:right w:val="single" w:color="auto" w:sz="4" w:space="0"/>
      </w:pBdr>
      <w:spacing w:before="100" w:after="100"/>
      <w:ind w:firstLine="200" w:firstLineChars="200"/>
      <w:jc w:val="center"/>
    </w:pPr>
    <w:rPr>
      <w:rFonts w:ascii="Arial Unicode MS" w:hAnsi="Arial Unicode MS" w:eastAsia="Times New Roman"/>
      <w:color w:val="7030A0"/>
      <w:kern w:val="0"/>
      <w:szCs w:val="20"/>
    </w:rPr>
  </w:style>
  <w:style w:type="paragraph" w:customStyle="1" w:styleId="310">
    <w:name w:val="Report Level 2"/>
    <w:basedOn w:val="211"/>
    <w:next w:val="212"/>
    <w:qFormat/>
    <w:uiPriority w:val="0"/>
    <w:pPr>
      <w:tabs>
        <w:tab w:val="left" w:pos="1500"/>
        <w:tab w:val="clear" w:pos="1080"/>
      </w:tabs>
      <w:ind w:left="1500"/>
      <w:outlineLvl w:val="1"/>
    </w:pPr>
    <w:rPr>
      <w:caps w:val="0"/>
    </w:rPr>
  </w:style>
  <w:style w:type="paragraph" w:customStyle="1" w:styleId="311">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textAlignment w:val="center"/>
    </w:pPr>
    <w:rPr>
      <w:rFonts w:eastAsia="Times New Roman"/>
      <w:color w:val="7030A0"/>
      <w:kern w:val="0"/>
      <w:szCs w:val="20"/>
    </w:rPr>
  </w:style>
  <w:style w:type="paragraph" w:customStyle="1" w:styleId="312">
    <w:name w:val="文档结构图2"/>
    <w:basedOn w:val="1"/>
    <w:qFormat/>
    <w:uiPriority w:val="0"/>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313">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314">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15">
    <w:name w:val="纯文本3"/>
    <w:basedOn w:val="1"/>
    <w:qFormat/>
    <w:uiPriority w:val="0"/>
    <w:rPr>
      <w:rFonts w:ascii="宋体" w:hAnsi="Courier New" w:cs="Courier New"/>
      <w:szCs w:val="21"/>
    </w:rPr>
  </w:style>
  <w:style w:type="paragraph" w:customStyle="1" w:styleId="316">
    <w:name w:val="xl46"/>
    <w:basedOn w:val="1"/>
    <w:qFormat/>
    <w:uiPriority w:val="0"/>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Times New Roman"/>
      <w:color w:val="7030A0"/>
      <w:kern w:val="0"/>
      <w:szCs w:val="20"/>
    </w:rPr>
  </w:style>
  <w:style w:type="paragraph" w:customStyle="1" w:styleId="317">
    <w:name w:val="重点"/>
    <w:basedOn w:val="1"/>
    <w:qFormat/>
    <w:uiPriority w:val="0"/>
    <w:pPr>
      <w:tabs>
        <w:tab w:val="left" w:pos="0"/>
        <w:tab w:val="left" w:pos="814"/>
      </w:tabs>
      <w:adjustRightInd w:val="0"/>
      <w:snapToGrid w:val="0"/>
      <w:spacing w:line="560" w:lineRule="atLeast"/>
      <w:ind w:left="737" w:hanging="283" w:firstLineChars="200"/>
      <w:jc w:val="left"/>
    </w:pPr>
    <w:rPr>
      <w:color w:val="7030A0"/>
      <w:kern w:val="24"/>
      <w:sz w:val="30"/>
      <w:szCs w:val="20"/>
    </w:rPr>
  </w:style>
  <w:style w:type="paragraph" w:customStyle="1" w:styleId="318">
    <w:name w:val="招标文件1.1.1"/>
    <w:qFormat/>
    <w:uiPriority w:val="0"/>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319">
    <w:name w:val="Footer First"/>
    <w:basedOn w:val="49"/>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320">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321">
    <w:name w:val="样式 目录 1"/>
    <w:basedOn w:val="51"/>
    <w:qFormat/>
    <w:uiPriority w:val="0"/>
    <w:pPr>
      <w:tabs>
        <w:tab w:val="left" w:pos="420"/>
        <w:tab w:val="left" w:pos="525"/>
        <w:tab w:val="left" w:pos="1680"/>
        <w:tab w:val="right" w:leader="dot" w:pos="8495"/>
        <w:tab w:val="right" w:pos="9060"/>
        <w:tab w:val="clear" w:pos="8778"/>
      </w:tabs>
      <w:snapToGrid/>
      <w:spacing w:line="240" w:lineRule="auto"/>
      <w:ind w:left="525" w:hanging="425"/>
    </w:pPr>
    <w:rPr>
      <w:bCs w:val="0"/>
      <w:iCs w:val="0"/>
      <w:caps w:val="0"/>
      <w:color w:val="7030A0"/>
      <w:kern w:val="2"/>
      <w:sz w:val="21"/>
      <w:szCs w:val="20"/>
    </w:rPr>
  </w:style>
  <w:style w:type="paragraph" w:customStyle="1" w:styleId="322">
    <w:name w:val="招标文件1）"/>
    <w:qFormat/>
    <w:uiPriority w:val="0"/>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23">
    <w:name w:val="font7"/>
    <w:basedOn w:val="1"/>
    <w:qFormat/>
    <w:uiPriority w:val="0"/>
    <w:pPr>
      <w:widowControl/>
      <w:spacing w:before="100" w:beforeAutospacing="1" w:after="100" w:afterAutospacing="1"/>
      <w:jc w:val="left"/>
    </w:pPr>
    <w:rPr>
      <w:rFonts w:ascii="宋体" w:hAnsi="宋体" w:cs="宋体"/>
      <w:kern w:val="0"/>
      <w:szCs w:val="21"/>
    </w:rPr>
  </w:style>
  <w:style w:type="paragraph" w:customStyle="1" w:styleId="324">
    <w:name w:val="修订2"/>
    <w:qFormat/>
    <w:uiPriority w:val="0"/>
    <w:rPr>
      <w:rFonts w:ascii="Times New Roman" w:hAnsi="Times New Roman" w:eastAsia="宋体" w:cs="Times New Roman"/>
      <w:kern w:val="2"/>
      <w:sz w:val="21"/>
      <w:szCs w:val="24"/>
      <w:lang w:val="en-US" w:eastAsia="zh-CN" w:bidi="ar-SA"/>
    </w:rPr>
  </w:style>
  <w:style w:type="paragraph" w:customStyle="1" w:styleId="325">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326">
    <w:name w:val="1.1"/>
    <w:basedOn w:val="5"/>
    <w:qFormat/>
    <w:uiPriority w:val="0"/>
    <w:pPr>
      <w:keepNext w:val="0"/>
      <w:keepLines w:val="0"/>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327">
    <w:name w:val="招标文件1.1.1.1"/>
    <w:basedOn w:val="1"/>
    <w:qFormat/>
    <w:uiPriority w:val="0"/>
    <w:pPr>
      <w:spacing w:before="120" w:after="120" w:line="480" w:lineRule="exact"/>
      <w:ind w:left="200" w:firstLine="200" w:firstLineChars="200"/>
      <w:jc w:val="left"/>
      <w:outlineLvl w:val="4"/>
    </w:pPr>
    <w:rPr>
      <w:rFonts w:ascii="宋体"/>
      <w:b/>
      <w:color w:val="7030A0"/>
      <w:spacing w:val="10"/>
      <w:w w:val="95"/>
    </w:rPr>
  </w:style>
  <w:style w:type="paragraph" w:customStyle="1" w:styleId="328">
    <w:name w:val="三级标题格式"/>
    <w:basedOn w:val="6"/>
    <w:qFormat/>
    <w:uiPriority w:val="0"/>
    <w:pPr>
      <w:keepNext w:val="0"/>
      <w:keepLines w:val="0"/>
      <w:spacing w:before="0" w:afterLines="100" w:line="240" w:lineRule="auto"/>
      <w:jc w:val="left"/>
    </w:pPr>
    <w:rPr>
      <w:rFonts w:eastAsia="黑体"/>
      <w:b w:val="0"/>
      <w:sz w:val="28"/>
      <w:szCs w:val="28"/>
    </w:rPr>
  </w:style>
  <w:style w:type="paragraph" w:customStyle="1" w:styleId="329">
    <w:name w:val="xl32"/>
    <w:basedOn w:val="1"/>
    <w:qFormat/>
    <w:uiPriority w:val="0"/>
    <w:pPr>
      <w:widowControl/>
      <w:spacing w:before="100" w:beforeAutospacing="1" w:after="100" w:afterAutospacing="1"/>
      <w:jc w:val="center"/>
    </w:pPr>
    <w:rPr>
      <w:b/>
      <w:bCs/>
      <w:kern w:val="0"/>
      <w:sz w:val="24"/>
      <w:u w:val="single"/>
    </w:rPr>
  </w:style>
  <w:style w:type="paragraph" w:customStyle="1" w:styleId="33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31">
    <w:name w:val="_Style 1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2">
    <w:name w:val="正文11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333">
    <w:name w:val="样式 样式 样式 宋体 小四 左侧:  1.85 厘米 段前: 11.15 磅 段后: 11.15 磅 + 图案: 清除 (白色..."/>
    <w:basedOn w:val="240"/>
    <w:qFormat/>
    <w:uiPriority w:val="0"/>
    <w:pPr>
      <w:spacing w:beforeLines="50" w:afterLines="50"/>
      <w:ind w:left="318"/>
    </w:pPr>
    <w:rPr>
      <w:szCs w:val="20"/>
    </w:rPr>
  </w:style>
  <w:style w:type="paragraph" w:customStyle="1" w:styleId="334">
    <w:name w:val="章节标题 QD3"/>
    <w:basedOn w:val="121"/>
    <w:next w:val="121"/>
    <w:qFormat/>
    <w:uiPriority w:val="0"/>
    <w:pPr>
      <w:ind w:firstLine="0" w:firstLineChars="0"/>
      <w:jc w:val="center"/>
    </w:pPr>
    <w:rPr>
      <w:rFonts w:eastAsia="黑体"/>
      <w:b/>
      <w:sz w:val="44"/>
      <w:szCs w:val="84"/>
    </w:rPr>
  </w:style>
  <w:style w:type="paragraph" w:customStyle="1" w:styleId="335">
    <w:name w:val="标题2 Char"/>
    <w:basedOn w:val="5"/>
    <w:qFormat/>
    <w:uiPriority w:val="0"/>
    <w:pPr>
      <w:tabs>
        <w:tab w:val="left" w:pos="709"/>
      </w:tabs>
      <w:adjustRightInd w:val="0"/>
      <w:spacing w:before="0" w:after="0" w:line="360" w:lineRule="auto"/>
      <w:ind w:left="709" w:hanging="709"/>
      <w:textAlignment w:val="baseline"/>
    </w:pPr>
    <w:rPr>
      <w:rFonts w:eastAsia="仿宋_GB2312" w:cs="Arial"/>
      <w:b w:val="0"/>
      <w:bCs w:val="0"/>
      <w:kern w:val="0"/>
      <w:sz w:val="21"/>
      <w:szCs w:val="24"/>
    </w:rPr>
  </w:style>
  <w:style w:type="paragraph" w:customStyle="1" w:styleId="336">
    <w:name w:val="样式 样式 首行缩进:  2 字符 + 首行缩进:  2 字符"/>
    <w:basedOn w:val="1"/>
    <w:qFormat/>
    <w:uiPriority w:val="0"/>
    <w:pPr>
      <w:spacing w:line="360" w:lineRule="auto"/>
      <w:ind w:firstLine="200" w:firstLineChars="200"/>
      <w:jc w:val="left"/>
    </w:pPr>
    <w:rPr>
      <w:rFonts w:cs="宋体"/>
      <w:color w:val="7030A0"/>
      <w:szCs w:val="20"/>
    </w:rPr>
  </w:style>
  <w:style w:type="paragraph" w:customStyle="1" w:styleId="337">
    <w:name w:val="Body text 1"/>
    <w:basedOn w:val="1"/>
    <w:qFormat/>
    <w:uiPriority w:val="0"/>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338">
    <w:name w:val="正文文本缩进 32"/>
    <w:basedOn w:val="1"/>
    <w:qFormat/>
    <w:uiPriority w:val="0"/>
    <w:pPr>
      <w:autoSpaceDE w:val="0"/>
      <w:autoSpaceDN w:val="0"/>
      <w:adjustRightInd w:val="0"/>
      <w:ind w:firstLine="525" w:firstLineChars="200"/>
      <w:jc w:val="left"/>
      <w:textAlignment w:val="baseline"/>
    </w:pPr>
    <w:rPr>
      <w:color w:val="7030A0"/>
      <w:sz w:val="24"/>
      <w:szCs w:val="20"/>
    </w:rPr>
  </w:style>
  <w:style w:type="paragraph" w:customStyle="1" w:styleId="339">
    <w:name w:val="註解方塊文字2"/>
    <w:basedOn w:val="1"/>
    <w:semiHidden/>
    <w:qFormat/>
    <w:uiPriority w:val="0"/>
    <w:rPr>
      <w:rFonts w:ascii="Arial" w:hAnsi="Arial" w:eastAsia="PMingLiU"/>
      <w:color w:val="7030A0"/>
      <w:sz w:val="18"/>
      <w:szCs w:val="18"/>
    </w:rPr>
  </w:style>
  <w:style w:type="paragraph" w:customStyle="1" w:styleId="340">
    <w:name w:val="A-12"/>
    <w:basedOn w:val="1"/>
    <w:qFormat/>
    <w:uiPriority w:val="0"/>
    <w:pPr>
      <w:widowControl/>
      <w:ind w:firstLine="200" w:firstLineChars="200"/>
      <w:jc w:val="left"/>
    </w:pPr>
    <w:rPr>
      <w:rFonts w:ascii="Arial" w:hAnsi="Arial"/>
      <w:color w:val="7030A0"/>
      <w:kern w:val="0"/>
      <w:sz w:val="24"/>
      <w:szCs w:val="20"/>
      <w:lang w:val="en-GB"/>
    </w:rPr>
  </w:style>
  <w:style w:type="paragraph" w:customStyle="1" w:styleId="341">
    <w:name w:val="xiao b"/>
    <w:basedOn w:val="1"/>
    <w:qFormat/>
    <w:uiPriority w:val="0"/>
    <w:pPr>
      <w:ind w:firstLine="200" w:firstLineChars="200"/>
      <w:jc w:val="center"/>
    </w:pPr>
    <w:rPr>
      <w:rFonts w:eastAsia="黑体"/>
      <w:color w:val="7030A0"/>
      <w:sz w:val="24"/>
      <w:szCs w:val="20"/>
    </w:rPr>
  </w:style>
  <w:style w:type="paragraph" w:customStyle="1" w:styleId="342">
    <w:name w:val="样式 目录 1 + 左侧:  3 字符"/>
    <w:basedOn w:val="51"/>
    <w:qFormat/>
    <w:uiPriority w:val="0"/>
    <w:pPr>
      <w:tabs>
        <w:tab w:val="left" w:pos="425"/>
        <w:tab w:val="left" w:pos="1680"/>
        <w:tab w:val="right" w:leader="dot" w:pos="8495"/>
        <w:tab w:val="right" w:pos="9060"/>
        <w:tab w:val="clear" w:pos="8778"/>
      </w:tabs>
      <w:snapToGrid/>
      <w:spacing w:line="240" w:lineRule="auto"/>
      <w:ind w:left="425" w:hanging="425"/>
    </w:pPr>
    <w:rPr>
      <w:bCs w:val="0"/>
      <w:iCs w:val="0"/>
      <w:caps w:val="0"/>
      <w:color w:val="7030A0"/>
      <w:kern w:val="2"/>
      <w:sz w:val="21"/>
      <w:szCs w:val="20"/>
    </w:rPr>
  </w:style>
  <w:style w:type="paragraph" w:customStyle="1" w:styleId="34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34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45">
    <w:name w:val="样式 标题 4 + 加粗"/>
    <w:basedOn w:val="2"/>
    <w:qFormat/>
    <w:uiPriority w:val="0"/>
    <w:pPr>
      <w:keepNext w:val="0"/>
      <w:keepLines w:val="0"/>
      <w:spacing w:before="120" w:after="0" w:line="240" w:lineRule="auto"/>
      <w:jc w:val="left"/>
    </w:pPr>
    <w:rPr>
      <w:rFonts w:ascii="Times New Roman" w:hAnsi="Times New Roman"/>
      <w:b w:val="0"/>
      <w:color w:val="00B050"/>
      <w:sz w:val="24"/>
    </w:rPr>
  </w:style>
  <w:style w:type="paragraph" w:customStyle="1" w:styleId="346">
    <w:name w:val="表格"/>
    <w:basedOn w:val="1"/>
    <w:qFormat/>
    <w:uiPriority w:val="0"/>
    <w:pPr>
      <w:widowControl/>
      <w:snapToGrid w:val="0"/>
      <w:spacing w:before="60" w:after="60"/>
      <w:jc w:val="left"/>
    </w:pPr>
    <w:rPr>
      <w:rFonts w:ascii="宋体"/>
      <w:sz w:val="20"/>
      <w:szCs w:val="20"/>
    </w:rPr>
  </w:style>
  <w:style w:type="paragraph" w:customStyle="1" w:styleId="347">
    <w:name w:val="Char Char Char Char"/>
    <w:basedOn w:val="22"/>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348">
    <w:name w:val="招标文件1.1"/>
    <w:qFormat/>
    <w:uiPriority w:val="0"/>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349">
    <w:name w:val="样式4"/>
    <w:basedOn w:val="1"/>
    <w:next w:val="5"/>
    <w:qFormat/>
    <w:uiPriority w:val="0"/>
    <w:pPr>
      <w:tabs>
        <w:tab w:val="left" w:pos="360"/>
      </w:tabs>
      <w:spacing w:line="360" w:lineRule="auto"/>
      <w:ind w:left="360" w:hanging="360"/>
    </w:pPr>
    <w:rPr>
      <w:rFonts w:ascii="宋体" w:hAnsi="宋体"/>
      <w:b/>
      <w:sz w:val="28"/>
      <w:szCs w:val="20"/>
    </w:rPr>
  </w:style>
  <w:style w:type="paragraph" w:customStyle="1" w:styleId="350">
    <w:name w:val="xl53"/>
    <w:basedOn w:val="1"/>
    <w:qFormat/>
    <w:uiPriority w:val="0"/>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Times New Roman"/>
      <w:color w:val="7030A0"/>
      <w:kern w:val="0"/>
      <w:szCs w:val="20"/>
    </w:rPr>
  </w:style>
  <w:style w:type="paragraph" w:customStyle="1" w:styleId="351">
    <w:name w:val="样式 标题 1标题 1 1编号标题1标题1 + 宋体 加粗"/>
    <w:basedOn w:val="4"/>
    <w:qFormat/>
    <w:uiPriority w:val="0"/>
    <w:pPr>
      <w:keepNext w:val="0"/>
      <w:tabs>
        <w:tab w:val="left" w:pos="2340"/>
        <w:tab w:val="clear" w:pos="1440"/>
      </w:tabs>
      <w:spacing w:before="240" w:afterLines="50" w:line="360" w:lineRule="exact"/>
      <w:ind w:left="1304" w:hanging="1304"/>
      <w:jc w:val="left"/>
    </w:pPr>
    <w:rPr>
      <w:rFonts w:ascii="宋体" w:hAnsi="宋体" w:cs="Arial"/>
      <w:sz w:val="28"/>
      <w:szCs w:val="28"/>
    </w:rPr>
  </w:style>
  <w:style w:type="paragraph" w:customStyle="1" w:styleId="352">
    <w:name w:val="Report Level 4"/>
    <w:basedOn w:val="210"/>
    <w:next w:val="212"/>
    <w:qFormat/>
    <w:uiPriority w:val="0"/>
    <w:pPr>
      <w:tabs>
        <w:tab w:val="left" w:pos="720"/>
        <w:tab w:val="left" w:pos="2309"/>
        <w:tab w:val="clear" w:pos="1889"/>
      </w:tabs>
      <w:ind w:left="720" w:hanging="720"/>
      <w:outlineLvl w:val="3"/>
    </w:pPr>
    <w:rPr>
      <w:rFonts w:ascii="Times New Roman" w:hAnsi="Times New Roman"/>
    </w:rPr>
  </w:style>
  <w:style w:type="paragraph" w:customStyle="1" w:styleId="353">
    <w:name w:val="样式 宋体 小四 首行缩进:  0.93 厘米 段前: 11.15 磅 段后: 11.15 磅1 Char"/>
    <w:basedOn w:val="1"/>
    <w:qFormat/>
    <w:uiPriority w:val="0"/>
    <w:pPr>
      <w:adjustRightInd w:val="0"/>
      <w:snapToGrid w:val="0"/>
      <w:ind w:left="200" w:leftChars="200" w:firstLine="200" w:firstLineChars="200"/>
      <w:jc w:val="left"/>
    </w:pPr>
    <w:rPr>
      <w:rFonts w:ascii="宋体"/>
      <w:color w:val="7030A0"/>
      <w:sz w:val="24"/>
      <w:szCs w:val="20"/>
    </w:rPr>
  </w:style>
  <w:style w:type="paragraph" w:customStyle="1" w:styleId="354">
    <w:name w:val="标书正文"/>
    <w:basedOn w:val="1"/>
    <w:qFormat/>
    <w:uiPriority w:val="0"/>
    <w:pPr>
      <w:spacing w:before="100" w:after="100" w:line="440" w:lineRule="atLeast"/>
      <w:ind w:left="176" w:firstLine="200" w:firstLineChars="200"/>
      <w:jc w:val="left"/>
    </w:pPr>
    <w:rPr>
      <w:rFonts w:ascii="宋体" w:hAnsi="宋体"/>
      <w:color w:val="7030A0"/>
      <w:spacing w:val="20"/>
      <w:sz w:val="24"/>
    </w:rPr>
  </w:style>
  <w:style w:type="paragraph" w:customStyle="1" w:styleId="355">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356">
    <w:name w:val="通用"/>
    <w:basedOn w:val="1"/>
    <w:qFormat/>
    <w:uiPriority w:val="0"/>
    <w:pPr>
      <w:spacing w:line="360" w:lineRule="auto"/>
      <w:ind w:left="840" w:leftChars="400"/>
    </w:pPr>
    <w:rPr>
      <w:rFonts w:ascii="宋体" w:hAnsi="宋体"/>
      <w:szCs w:val="20"/>
    </w:rPr>
  </w:style>
  <w:style w:type="paragraph" w:customStyle="1" w:styleId="357">
    <w:name w:val="Char"/>
    <w:basedOn w:val="1"/>
    <w:qFormat/>
    <w:uiPriority w:val="0"/>
    <w:rPr>
      <w:rFonts w:ascii="仿宋_GB2312" w:eastAsia="仿宋_GB2312"/>
      <w:b/>
      <w:sz w:val="32"/>
      <w:szCs w:val="32"/>
    </w:rPr>
  </w:style>
  <w:style w:type="paragraph" w:customStyle="1" w:styleId="358">
    <w:name w:val="样式 目录 1 + 首行缩进:  2 字符"/>
    <w:basedOn w:val="1"/>
    <w:qFormat/>
    <w:uiPriority w:val="0"/>
    <w:pPr>
      <w:adjustRightInd w:val="0"/>
      <w:snapToGrid w:val="0"/>
      <w:spacing w:line="360" w:lineRule="auto"/>
      <w:ind w:firstLine="200" w:firstLineChars="200"/>
      <w:jc w:val="center"/>
    </w:pPr>
    <w:rPr>
      <w:rFonts w:cs="宋体"/>
      <w:b/>
      <w:bCs/>
      <w:caps/>
      <w:color w:val="7030A0"/>
      <w:sz w:val="30"/>
      <w:szCs w:val="28"/>
    </w:rPr>
  </w:style>
  <w:style w:type="paragraph" w:customStyle="1" w:styleId="359">
    <w:name w:val="样式 标题2 1.1 + 段前: 0 磅 段后: 0 磅"/>
    <w:basedOn w:val="1"/>
    <w:qFormat/>
    <w:uiPriority w:val="0"/>
    <w:pPr>
      <w:keepNext/>
      <w:tabs>
        <w:tab w:val="left" w:pos="567"/>
      </w:tabs>
      <w:spacing w:line="480" w:lineRule="atLeast"/>
      <w:ind w:left="567" w:hanging="567" w:firstLineChars="200"/>
      <w:jc w:val="left"/>
      <w:outlineLvl w:val="1"/>
    </w:pPr>
    <w:rPr>
      <w:color w:val="7030A0"/>
      <w:sz w:val="28"/>
      <w:szCs w:val="20"/>
    </w:rPr>
  </w:style>
  <w:style w:type="paragraph" w:customStyle="1" w:styleId="360">
    <w:name w:val="三点段 Char"/>
    <w:basedOn w:val="1"/>
    <w:qFormat/>
    <w:uiPriority w:val="0"/>
    <w:pPr>
      <w:spacing w:line="360" w:lineRule="auto"/>
      <w:ind w:left="1200" w:hanging="1200" w:hangingChars="500"/>
    </w:pPr>
    <w:rPr>
      <w:rFonts w:ascii="宋体"/>
      <w:sz w:val="24"/>
    </w:rPr>
  </w:style>
  <w:style w:type="paragraph" w:customStyle="1" w:styleId="36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62">
    <w:name w:val="zhengwen"/>
    <w:basedOn w:val="1"/>
    <w:qFormat/>
    <w:uiPriority w:val="0"/>
    <w:pPr>
      <w:tabs>
        <w:tab w:val="left" w:pos="1077"/>
      </w:tabs>
      <w:adjustRightInd w:val="0"/>
      <w:snapToGrid w:val="0"/>
      <w:spacing w:line="520" w:lineRule="exact"/>
      <w:ind w:left="1077" w:firstLine="200" w:firstLineChars="200"/>
      <w:jc w:val="left"/>
    </w:pPr>
    <w:rPr>
      <w:bCs/>
      <w:color w:val="7030A0"/>
      <w:sz w:val="28"/>
    </w:rPr>
  </w:style>
  <w:style w:type="paragraph" w:customStyle="1" w:styleId="363">
    <w:name w:val="Report Heading"/>
    <w:basedOn w:val="1"/>
    <w:next w:val="1"/>
    <w:qFormat/>
    <w:uiPriority w:val="0"/>
    <w:pPr>
      <w:keepNext/>
      <w:widowControl/>
      <w:spacing w:before="120" w:after="138"/>
      <w:ind w:left="1080" w:firstLine="200" w:firstLineChars="200"/>
      <w:jc w:val="left"/>
    </w:pPr>
    <w:rPr>
      <w:rFonts w:ascii="Arial" w:hAnsi="Arial"/>
      <w:b/>
      <w:color w:val="7030A0"/>
      <w:kern w:val="0"/>
      <w:sz w:val="22"/>
      <w:szCs w:val="20"/>
      <w:lang w:val="en-GB"/>
    </w:rPr>
  </w:style>
  <w:style w:type="paragraph" w:customStyle="1" w:styleId="364">
    <w:name w:val="样式 标题 5 + 右侧:  -0.18 字符"/>
    <w:basedOn w:val="1"/>
    <w:qFormat/>
    <w:uiPriority w:val="0"/>
    <w:pPr>
      <w:tabs>
        <w:tab w:val="left" w:pos="1008"/>
      </w:tabs>
      <w:ind w:left="1134" w:hanging="1134"/>
    </w:pPr>
  </w:style>
  <w:style w:type="paragraph" w:customStyle="1" w:styleId="365">
    <w:name w:val="样式 宋体 行距: 1.5 倍行距"/>
    <w:basedOn w:val="1"/>
    <w:qFormat/>
    <w:uiPriority w:val="0"/>
    <w:pPr>
      <w:ind w:firstLine="200" w:firstLineChars="200"/>
      <w:jc w:val="left"/>
    </w:pPr>
    <w:rPr>
      <w:rFonts w:ascii="宋体" w:hAnsi="宋体"/>
      <w:color w:val="7030A0"/>
      <w:szCs w:val="20"/>
    </w:rPr>
  </w:style>
  <w:style w:type="paragraph" w:customStyle="1" w:styleId="366">
    <w:name w:val="纯文本2"/>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367">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368">
    <w:name w:val="标题1"/>
    <w:basedOn w:val="4"/>
    <w:qFormat/>
    <w:uiPriority w:val="0"/>
    <w:pPr>
      <w:tabs>
        <w:tab w:val="left" w:pos="450"/>
        <w:tab w:val="left" w:pos="709"/>
        <w:tab w:val="left" w:pos="907"/>
        <w:tab w:val="clear" w:pos="1440"/>
      </w:tabs>
      <w:adjustRightInd w:val="0"/>
      <w:spacing w:before="120" w:after="0" w:line="360" w:lineRule="auto"/>
      <w:ind w:left="450" w:hanging="450"/>
      <w:textAlignment w:val="baseline"/>
    </w:pPr>
    <w:rPr>
      <w:rFonts w:ascii="宋体" w:hAnsi="宋体"/>
      <w:bCs w:val="0"/>
      <w:sz w:val="28"/>
      <w:szCs w:val="20"/>
    </w:rPr>
  </w:style>
  <w:style w:type="paragraph" w:customStyle="1" w:styleId="369">
    <w:name w:val="样式 标题2 + 字距调整8 磅"/>
    <w:basedOn w:val="335"/>
    <w:qFormat/>
    <w:uiPriority w:val="0"/>
    <w:pPr>
      <w:tabs>
        <w:tab w:val="clear" w:pos="709"/>
      </w:tabs>
    </w:pPr>
    <w:rPr>
      <w:kern w:val="16"/>
    </w:rPr>
  </w:style>
  <w:style w:type="paragraph" w:customStyle="1" w:styleId="370">
    <w:name w:val="样式 左侧:  2 字符 段前: 0.5 行"/>
    <w:basedOn w:val="1"/>
    <w:qFormat/>
    <w:uiPriority w:val="0"/>
    <w:pPr>
      <w:spacing w:beforeLines="50"/>
      <w:ind w:firstLine="200" w:firstLineChars="200"/>
    </w:pPr>
    <w:rPr>
      <w:rFonts w:ascii="宋体" w:cs="宋体"/>
      <w:sz w:val="24"/>
      <w:szCs w:val="20"/>
    </w:rPr>
  </w:style>
  <w:style w:type="paragraph" w:customStyle="1" w:styleId="371">
    <w:name w:val="正文文本缩进 22"/>
    <w:basedOn w:val="1"/>
    <w:qFormat/>
    <w:uiPriority w:val="0"/>
    <w:pPr>
      <w:autoSpaceDE w:val="0"/>
      <w:autoSpaceDN w:val="0"/>
      <w:adjustRightInd w:val="0"/>
      <w:ind w:firstLine="420" w:firstLineChars="200"/>
      <w:jc w:val="left"/>
      <w:textAlignment w:val="baseline"/>
    </w:pPr>
    <w:rPr>
      <w:color w:val="7030A0"/>
      <w:szCs w:val="20"/>
    </w:rPr>
  </w:style>
  <w:style w:type="paragraph" w:customStyle="1" w:styleId="372">
    <w:name w:val="Char Char Char Char Char Char Char"/>
    <w:basedOn w:val="1"/>
    <w:qFormat/>
    <w:uiPriority w:val="0"/>
    <w:rPr>
      <w:rFonts w:ascii="仿宋_GB2312" w:eastAsia="仿宋_GB2312"/>
      <w:b/>
      <w:sz w:val="32"/>
      <w:szCs w:val="32"/>
    </w:rPr>
  </w:style>
  <w:style w:type="paragraph" w:customStyle="1" w:styleId="373">
    <w:name w:val="八级正文格式"/>
    <w:basedOn w:val="154"/>
    <w:qFormat/>
    <w:uiPriority w:val="0"/>
    <w:pPr>
      <w:spacing w:after="120"/>
      <w:ind w:firstLine="0" w:firstLineChars="0"/>
    </w:pPr>
  </w:style>
  <w:style w:type="paragraph" w:customStyle="1" w:styleId="374">
    <w:name w:val="TOC 标题1"/>
    <w:basedOn w:val="4"/>
    <w:next w:val="1"/>
    <w:qFormat/>
    <w:uiPriority w:val="0"/>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37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76">
    <w:name w:val="xl54"/>
    <w:basedOn w:val="1"/>
    <w:qFormat/>
    <w:uiPriority w:val="0"/>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Times New Roman"/>
      <w:color w:val="7030A0"/>
      <w:kern w:val="0"/>
      <w:szCs w:val="20"/>
    </w:rPr>
  </w:style>
  <w:style w:type="paragraph" w:customStyle="1" w:styleId="377">
    <w:name w:val="标题四"/>
    <w:basedOn w:val="318"/>
    <w:semiHidden/>
    <w:qFormat/>
    <w:uiPriority w:val="0"/>
    <w:pPr>
      <w:tabs>
        <w:tab w:val="left" w:pos="0"/>
      </w:tabs>
      <w:spacing w:line="360" w:lineRule="auto"/>
      <w:ind w:left="0"/>
    </w:pPr>
    <w:rPr>
      <w:rFonts w:ascii="Tahoma" w:hAnsi="Tahoma"/>
      <w:sz w:val="24"/>
      <w:szCs w:val="24"/>
    </w:rPr>
  </w:style>
  <w:style w:type="paragraph" w:customStyle="1" w:styleId="378">
    <w:name w:val="p0"/>
    <w:basedOn w:val="1"/>
    <w:qFormat/>
    <w:uiPriority w:val="0"/>
    <w:pPr>
      <w:widowControl/>
    </w:pPr>
    <w:rPr>
      <w:kern w:val="0"/>
      <w:szCs w:val="21"/>
    </w:rPr>
  </w:style>
  <w:style w:type="paragraph" w:customStyle="1" w:styleId="37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Cs w:val="21"/>
    </w:rPr>
  </w:style>
  <w:style w:type="paragraph" w:customStyle="1" w:styleId="380">
    <w:name w:val="图文"/>
    <w:basedOn w:val="1"/>
    <w:qFormat/>
    <w:uiPriority w:val="0"/>
    <w:pPr>
      <w:adjustRightInd w:val="0"/>
      <w:snapToGrid w:val="0"/>
      <w:spacing w:after="50" w:line="360" w:lineRule="auto"/>
    </w:pPr>
    <w:rPr>
      <w:sz w:val="24"/>
    </w:rPr>
  </w:style>
  <w:style w:type="paragraph" w:customStyle="1" w:styleId="381">
    <w:name w:val="章节标题 BJ8"/>
    <w:basedOn w:val="194"/>
    <w:next w:val="194"/>
    <w:qFormat/>
    <w:uiPriority w:val="0"/>
    <w:pPr>
      <w:ind w:firstLine="0" w:firstLineChars="0"/>
      <w:jc w:val="center"/>
    </w:pPr>
    <w:rPr>
      <w:rFonts w:eastAsia="黑体"/>
      <w:b/>
      <w:sz w:val="44"/>
      <w:szCs w:val="84"/>
    </w:rPr>
  </w:style>
  <w:style w:type="paragraph" w:customStyle="1" w:styleId="382">
    <w:name w:val="级别1"/>
    <w:basedOn w:val="4"/>
    <w:qFormat/>
    <w:uiPriority w:val="0"/>
    <w:pPr>
      <w:keepNext w:val="0"/>
      <w:keepLines w:val="0"/>
      <w:tabs>
        <w:tab w:val="left" w:pos="-1620"/>
        <w:tab w:val="clear" w:pos="1440"/>
      </w:tabs>
      <w:adjustRightInd w:val="0"/>
      <w:snapToGrid w:val="0"/>
      <w:spacing w:before="0" w:after="0" w:line="360" w:lineRule="auto"/>
      <w:ind w:left="2098" w:hanging="2098"/>
    </w:pPr>
    <w:rPr>
      <w:rFonts w:ascii="宋体" w:hAnsi="宋体"/>
      <w:bCs w:val="0"/>
      <w:sz w:val="28"/>
      <w:szCs w:val="28"/>
    </w:rPr>
  </w:style>
  <w:style w:type="paragraph" w:customStyle="1" w:styleId="383">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384">
    <w:name w:val="Char Char Char Char1"/>
    <w:basedOn w:val="1"/>
    <w:qFormat/>
    <w:uiPriority w:val="0"/>
    <w:pPr>
      <w:ind w:firstLine="200" w:firstLineChars="200"/>
      <w:jc w:val="left"/>
    </w:pPr>
    <w:rPr>
      <w:rFonts w:ascii="仿宋_GB2312" w:eastAsia="仿宋_GB2312"/>
      <w:b/>
      <w:color w:val="7030A0"/>
      <w:sz w:val="32"/>
      <w:szCs w:val="32"/>
    </w:rPr>
  </w:style>
  <w:style w:type="paragraph" w:customStyle="1" w:styleId="385">
    <w:name w:val="xl7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386">
    <w:name w:val="xl47"/>
    <w:basedOn w:val="1"/>
    <w:qFormat/>
    <w:uiPriority w:val="0"/>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Times New Roman"/>
      <w:color w:val="7030A0"/>
      <w:kern w:val="0"/>
      <w:szCs w:val="20"/>
    </w:rPr>
  </w:style>
  <w:style w:type="paragraph" w:customStyle="1" w:styleId="387">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kern w:val="0"/>
      <w:szCs w:val="21"/>
    </w:rPr>
  </w:style>
  <w:style w:type="paragraph" w:customStyle="1" w:styleId="388">
    <w:name w:val="正文文本缩进 21"/>
    <w:basedOn w:val="1"/>
    <w:qFormat/>
    <w:uiPriority w:val="0"/>
    <w:pPr>
      <w:autoSpaceDE w:val="0"/>
      <w:autoSpaceDN w:val="0"/>
      <w:adjustRightInd w:val="0"/>
      <w:spacing w:line="360" w:lineRule="auto"/>
      <w:ind w:firstLine="360" w:firstLineChars="200"/>
      <w:jc w:val="left"/>
      <w:textAlignment w:val="baseline"/>
    </w:pPr>
    <w:rPr>
      <w:rFonts w:ascii="宋体"/>
      <w:color w:val="7030A0"/>
      <w:sz w:val="24"/>
      <w:szCs w:val="20"/>
    </w:rPr>
  </w:style>
  <w:style w:type="paragraph" w:customStyle="1" w:styleId="389">
    <w:name w:val="需求正文"/>
    <w:basedOn w:val="1"/>
    <w:qFormat/>
    <w:uiPriority w:val="0"/>
    <w:pPr>
      <w:snapToGrid w:val="0"/>
      <w:spacing w:line="360" w:lineRule="auto"/>
      <w:ind w:firstLine="480" w:firstLineChars="200"/>
    </w:pPr>
    <w:rPr>
      <w:rFonts w:ascii="宋体" w:hAnsi="宋体"/>
      <w:color w:val="000000"/>
      <w:kern w:val="44"/>
      <w:sz w:val="24"/>
    </w:rPr>
  </w:style>
  <w:style w:type="paragraph" w:customStyle="1" w:styleId="390">
    <w:name w:val="样式 样式 正文（首行缩进两字） + 宋体 小四 首行缩进:  0 厘米 段前: 11.15 磅 段后: 11.15 磅 + 左...1"/>
    <w:basedOn w:val="1"/>
    <w:qFormat/>
    <w:uiPriority w:val="0"/>
    <w:pPr>
      <w:tabs>
        <w:tab w:val="left" w:pos="425"/>
        <w:tab w:val="left" w:pos="720"/>
      </w:tabs>
      <w:snapToGrid w:val="0"/>
      <w:spacing w:before="223" w:after="223"/>
      <w:ind w:left="200" w:leftChars="200" w:firstLine="200" w:firstLineChars="200"/>
      <w:jc w:val="left"/>
    </w:pPr>
    <w:rPr>
      <w:rFonts w:ascii="宋体" w:hAnsi="宋体"/>
      <w:color w:val="7030A0"/>
      <w:sz w:val="24"/>
      <w:szCs w:val="20"/>
    </w:rPr>
  </w:style>
  <w:style w:type="paragraph" w:customStyle="1" w:styleId="391">
    <w:name w:val="Char Char Char Char11"/>
    <w:basedOn w:val="1"/>
    <w:qFormat/>
    <w:uiPriority w:val="0"/>
    <w:pPr>
      <w:ind w:firstLine="200" w:firstLineChars="200"/>
      <w:jc w:val="left"/>
    </w:pPr>
    <w:rPr>
      <w:rFonts w:ascii="仿宋_GB2312" w:eastAsia="仿宋_GB2312"/>
      <w:b/>
      <w:color w:val="7030A0"/>
      <w:sz w:val="32"/>
      <w:szCs w:val="32"/>
    </w:rPr>
  </w:style>
  <w:style w:type="paragraph" w:customStyle="1" w:styleId="392">
    <w:name w:val="font5"/>
    <w:basedOn w:val="1"/>
    <w:qFormat/>
    <w:uiPriority w:val="0"/>
    <w:pPr>
      <w:widowControl/>
      <w:spacing w:before="100" w:beforeAutospacing="1" w:after="100" w:afterAutospacing="1"/>
      <w:jc w:val="left"/>
    </w:pPr>
    <w:rPr>
      <w:b/>
      <w:bCs/>
      <w:kern w:val="0"/>
      <w:sz w:val="22"/>
      <w:szCs w:val="22"/>
    </w:rPr>
  </w:style>
  <w:style w:type="paragraph" w:customStyle="1" w:styleId="393">
    <w:name w:val="mjd"/>
    <w:basedOn w:val="1"/>
    <w:qFormat/>
    <w:uiPriority w:val="0"/>
    <w:pPr>
      <w:tabs>
        <w:tab w:val="left" w:pos="1080"/>
        <w:tab w:val="left" w:pos="6960"/>
      </w:tabs>
      <w:autoSpaceDE w:val="0"/>
      <w:autoSpaceDN w:val="0"/>
      <w:adjustRightInd w:val="0"/>
      <w:spacing w:line="312" w:lineRule="atLeast"/>
      <w:ind w:left="1080" w:hanging="1080"/>
      <w:jc w:val="left"/>
    </w:pPr>
    <w:rPr>
      <w:rFonts w:ascii="宋体" w:hAnsi="Tms Rmn"/>
      <w:kern w:val="0"/>
      <w:szCs w:val="20"/>
    </w:rPr>
  </w:style>
  <w:style w:type="paragraph" w:customStyle="1" w:styleId="39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395">
    <w:name w:val="List Paragraph11"/>
    <w:basedOn w:val="1"/>
    <w:qFormat/>
    <w:uiPriority w:val="0"/>
    <w:pPr>
      <w:ind w:firstLine="420"/>
    </w:pPr>
    <w:rPr>
      <w:rFonts w:ascii="Calibri" w:hAnsi="Calibri" w:cs="Calibri"/>
      <w:szCs w:val="21"/>
    </w:rPr>
  </w:style>
  <w:style w:type="paragraph" w:customStyle="1" w:styleId="396">
    <w:name w:val="Char Char Char Char Char Char Char Char"/>
    <w:basedOn w:val="1"/>
    <w:qFormat/>
    <w:uiPriority w:val="0"/>
    <w:pPr>
      <w:ind w:firstLine="200" w:firstLineChars="200"/>
      <w:jc w:val="left"/>
    </w:pPr>
    <w:rPr>
      <w:rFonts w:ascii="Tahoma" w:hAnsi="Tahoma"/>
      <w:color w:val="7030A0"/>
      <w:sz w:val="24"/>
      <w:szCs w:val="20"/>
    </w:rPr>
  </w:style>
  <w:style w:type="paragraph" w:customStyle="1" w:styleId="397">
    <w:name w:val="小标题一"/>
    <w:basedOn w:val="1"/>
    <w:next w:val="1"/>
    <w:qFormat/>
    <w:uiPriority w:val="0"/>
    <w:pPr>
      <w:tabs>
        <w:tab w:val="left" w:pos="1080"/>
      </w:tabs>
      <w:spacing w:line="500" w:lineRule="exact"/>
      <w:ind w:left="1080" w:hanging="1080"/>
    </w:pPr>
    <w:rPr>
      <w:sz w:val="28"/>
      <w:szCs w:val="20"/>
    </w:rPr>
  </w:style>
  <w:style w:type="paragraph" w:customStyle="1" w:styleId="398">
    <w:name w:val="xl28"/>
    <w:basedOn w:val="1"/>
    <w:qFormat/>
    <w:uiPriority w:val="0"/>
    <w:pPr>
      <w:widowControl/>
      <w:spacing w:before="100" w:beforeAutospacing="1" w:after="100" w:afterAutospacing="1"/>
      <w:jc w:val="center"/>
    </w:pPr>
    <w:rPr>
      <w:kern w:val="0"/>
      <w:sz w:val="24"/>
    </w:rPr>
  </w:style>
  <w:style w:type="paragraph" w:customStyle="1" w:styleId="399">
    <w:name w:val="表格标题"/>
    <w:basedOn w:val="7"/>
    <w:qFormat/>
    <w:uiPriority w:val="0"/>
    <w:pPr>
      <w:keepNext w:val="0"/>
      <w:keepLines w:val="0"/>
      <w:tabs>
        <w:tab w:val="clear" w:pos="1008"/>
      </w:tabs>
      <w:spacing w:before="0" w:after="0" w:line="240" w:lineRule="auto"/>
      <w:ind w:left="0" w:firstLine="0"/>
      <w:jc w:val="center"/>
      <w:outlineLvl w:val="8"/>
    </w:pPr>
    <w:rPr>
      <w:b w:val="0"/>
      <w:bCs/>
      <w:sz w:val="21"/>
      <w:szCs w:val="28"/>
      <w:lang w:val="zh-CN"/>
    </w:rPr>
  </w:style>
  <w:style w:type="paragraph" w:customStyle="1" w:styleId="400">
    <w:name w:val="正文文本 22"/>
    <w:basedOn w:val="1"/>
    <w:qFormat/>
    <w:uiPriority w:val="0"/>
    <w:pPr>
      <w:autoSpaceDE w:val="0"/>
      <w:autoSpaceDN w:val="0"/>
      <w:adjustRightInd w:val="0"/>
      <w:ind w:left="525" w:firstLine="525" w:firstLineChars="200"/>
      <w:jc w:val="left"/>
      <w:textAlignment w:val="baseline"/>
    </w:pPr>
    <w:rPr>
      <w:color w:val="7030A0"/>
      <w:szCs w:val="20"/>
    </w:rPr>
  </w:style>
  <w:style w:type="paragraph" w:customStyle="1" w:styleId="401">
    <w:name w:val="xl48"/>
    <w:basedOn w:val="1"/>
    <w:qFormat/>
    <w:uiPriority w:val="0"/>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Times New Roman"/>
      <w:color w:val="7030A0"/>
      <w:kern w:val="0"/>
      <w:szCs w:val="20"/>
    </w:rPr>
  </w:style>
  <w:style w:type="paragraph" w:customStyle="1" w:styleId="402">
    <w:name w:val="xl39"/>
    <w:basedOn w:val="1"/>
    <w:qFormat/>
    <w:uiPriority w:val="0"/>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403">
    <w:name w:val="Char1 Char Char1 Char Char Char Char Char Char"/>
    <w:basedOn w:val="1"/>
    <w:qFormat/>
    <w:uiPriority w:val="0"/>
  </w:style>
  <w:style w:type="paragraph" w:customStyle="1" w:styleId="404">
    <w:name w:val="七级标题格式"/>
    <w:basedOn w:val="1"/>
    <w:qFormat/>
    <w:uiPriority w:val="0"/>
    <w:pPr>
      <w:spacing w:afterLines="50" w:line="336" w:lineRule="auto"/>
      <w:ind w:firstLine="200" w:firstLineChars="200"/>
      <w:jc w:val="left"/>
      <w:outlineLvl w:val="6"/>
    </w:pPr>
    <w:rPr>
      <w:color w:val="7030A0"/>
      <w:sz w:val="24"/>
    </w:rPr>
  </w:style>
  <w:style w:type="paragraph" w:customStyle="1" w:styleId="40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0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07">
    <w:name w:val="表格文字"/>
    <w:basedOn w:val="136"/>
    <w:qFormat/>
    <w:uiPriority w:val="0"/>
  </w:style>
  <w:style w:type="paragraph" w:customStyle="1" w:styleId="408">
    <w:name w:val="条文 表"/>
    <w:next w:val="1"/>
    <w:qFormat/>
    <w:uiPriority w:val="0"/>
    <w:pPr>
      <w:jc w:val="center"/>
    </w:pPr>
    <w:rPr>
      <w:rFonts w:ascii="Times New Roman" w:hAnsi="Times New Roman" w:eastAsia="黑体" w:cs="Times New Roman"/>
      <w:sz w:val="21"/>
      <w:lang w:val="en-US" w:eastAsia="zh-CN" w:bidi="ar-SA"/>
    </w:rPr>
  </w:style>
  <w:style w:type="paragraph" w:customStyle="1" w:styleId="409">
    <w:name w:val="招标文件1"/>
    <w:basedOn w:val="1"/>
    <w:qFormat/>
    <w:uiPriority w:val="0"/>
    <w:pPr>
      <w:tabs>
        <w:tab w:val="left" w:pos="420"/>
      </w:tabs>
      <w:spacing w:before="120" w:after="120" w:line="480" w:lineRule="exact"/>
      <w:ind w:left="200" w:firstLine="200" w:firstLineChars="200"/>
      <w:jc w:val="left"/>
      <w:outlineLvl w:val="1"/>
    </w:pPr>
    <w:rPr>
      <w:rFonts w:ascii="宋体"/>
      <w:b/>
      <w:color w:val="7030A0"/>
      <w:spacing w:val="10"/>
      <w:w w:val="95"/>
      <w:kern w:val="0"/>
      <w:sz w:val="28"/>
    </w:rPr>
  </w:style>
  <w:style w:type="paragraph" w:customStyle="1" w:styleId="410">
    <w:name w:val="二级标题格式"/>
    <w:basedOn w:val="5"/>
    <w:qFormat/>
    <w:uiPriority w:val="0"/>
    <w:pPr>
      <w:keepNext w:val="0"/>
      <w:keepLines w:val="0"/>
      <w:spacing w:before="0" w:afterLines="100" w:line="240" w:lineRule="auto"/>
      <w:jc w:val="left"/>
    </w:pPr>
    <w:rPr>
      <w:rFonts w:ascii="Times New Roman" w:hAnsi="Times New Roman"/>
      <w:b w:val="0"/>
      <w:color w:val="C00000"/>
      <w:sz w:val="28"/>
      <w:szCs w:val="28"/>
    </w:rPr>
  </w:style>
  <w:style w:type="paragraph" w:customStyle="1" w:styleId="411">
    <w:name w:val="xl50"/>
    <w:basedOn w:val="1"/>
    <w:qFormat/>
    <w:uiPriority w:val="0"/>
    <w:pPr>
      <w:widowControl/>
      <w:pBdr>
        <w:top w:val="single" w:color="auto" w:sz="4" w:space="0"/>
        <w:bottom w:val="single" w:color="auto" w:sz="4" w:space="0"/>
      </w:pBdr>
      <w:spacing w:before="100" w:after="100"/>
      <w:ind w:firstLine="200" w:firstLineChars="200"/>
      <w:jc w:val="center"/>
    </w:pPr>
    <w:rPr>
      <w:rFonts w:ascii="Arial Unicode MS" w:hAnsi="Arial Unicode MS" w:eastAsia="Times New Roman"/>
      <w:color w:val="7030A0"/>
      <w:kern w:val="0"/>
      <w:szCs w:val="20"/>
    </w:rPr>
  </w:style>
  <w:style w:type="paragraph" w:customStyle="1" w:styleId="412">
    <w:name w:val="xl52"/>
    <w:basedOn w:val="1"/>
    <w:qFormat/>
    <w:uiPriority w:val="0"/>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Times New Roman"/>
      <w:color w:val="7030A0"/>
      <w:kern w:val="0"/>
      <w:szCs w:val="20"/>
    </w:rPr>
  </w:style>
  <w:style w:type="paragraph" w:customStyle="1" w:styleId="413">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414">
    <w:name w:val="样式 宋体 小四 左 图案: 清除 (白色) 行距: 1.5 倍行距"/>
    <w:basedOn w:val="1"/>
    <w:qFormat/>
    <w:uiPriority w:val="0"/>
    <w:pPr>
      <w:tabs>
        <w:tab w:val="left" w:pos="840"/>
      </w:tabs>
      <w:spacing w:beforeLines="50" w:afterLines="50"/>
      <w:ind w:firstLine="200" w:firstLineChars="200"/>
      <w:jc w:val="left"/>
    </w:pPr>
    <w:rPr>
      <w:rFonts w:ascii="宋体" w:hAnsi="宋体"/>
      <w:color w:val="7030A0"/>
      <w:sz w:val="24"/>
      <w:szCs w:val="20"/>
      <w:shd w:val="clear" w:color="auto" w:fill="FFFFFF"/>
    </w:rPr>
  </w:style>
  <w:style w:type="paragraph" w:customStyle="1" w:styleId="415">
    <w:name w:val="xl24"/>
    <w:basedOn w:val="1"/>
    <w:qFormat/>
    <w:uiPriority w:val="0"/>
    <w:pPr>
      <w:widowControl/>
      <w:spacing w:before="100" w:beforeAutospacing="1" w:after="100" w:afterAutospacing="1"/>
      <w:jc w:val="left"/>
    </w:pPr>
    <w:rPr>
      <w:kern w:val="0"/>
      <w:sz w:val="24"/>
    </w:rPr>
  </w:style>
  <w:style w:type="paragraph" w:customStyle="1" w:styleId="416">
    <w:name w:val="样式 样式 标题 3 + 段前: 1 行 段后: 0.5 行 + 段前: 1 行 段后: 0.5 行"/>
    <w:basedOn w:val="1"/>
    <w:qFormat/>
    <w:uiPriority w:val="0"/>
    <w:pPr>
      <w:keepNext/>
      <w:keepLines/>
      <w:spacing w:beforeLines="100" w:afterLines="50"/>
      <w:ind w:firstLine="200" w:firstLineChars="200"/>
      <w:jc w:val="left"/>
      <w:outlineLvl w:val="2"/>
    </w:pPr>
    <w:rPr>
      <w:rFonts w:eastAsia="黑体" w:cs="宋体"/>
      <w:bCs/>
      <w:color w:val="7030A0"/>
      <w:sz w:val="22"/>
      <w:szCs w:val="22"/>
    </w:rPr>
  </w:style>
  <w:style w:type="paragraph" w:customStyle="1" w:styleId="417">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418">
    <w:name w:val="Char Char Char Char Char Char1 Char Char Char Char"/>
    <w:basedOn w:val="1"/>
    <w:qFormat/>
    <w:uiPriority w:val="0"/>
    <w:rPr>
      <w:rFonts w:ascii="仿宋_GB2312" w:eastAsia="仿宋_GB2312"/>
      <w:b/>
      <w:sz w:val="32"/>
      <w:szCs w:val="32"/>
    </w:rPr>
  </w:style>
  <w:style w:type="paragraph" w:customStyle="1" w:styleId="419">
    <w:name w:val="一级标题"/>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420">
    <w:name w:val="文档结构图1"/>
    <w:basedOn w:val="1"/>
    <w:qFormat/>
    <w:uiPriority w:val="0"/>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421">
    <w:name w:val="合同书"/>
    <w:basedOn w:val="1"/>
    <w:qFormat/>
    <w:uiPriority w:val="0"/>
    <w:pPr>
      <w:spacing w:afterLines="100"/>
      <w:jc w:val="center"/>
    </w:pPr>
    <w:rPr>
      <w:rFonts w:hAnsi="宋体"/>
      <w:b/>
      <w:color w:val="000000"/>
      <w:sz w:val="44"/>
      <w:szCs w:val="44"/>
    </w:rPr>
  </w:style>
  <w:style w:type="paragraph" w:customStyle="1" w:styleId="422">
    <w:name w:val="样式 标题 2标题 1.1head:2#2 headlinehheadlineS&amp;R2ERMH2Head 2 +..."/>
    <w:basedOn w:val="5"/>
    <w:qFormat/>
    <w:uiPriority w:val="0"/>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423">
    <w:name w:val="xl40"/>
    <w:basedOn w:val="1"/>
    <w:qFormat/>
    <w:uiPriority w:val="0"/>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424">
    <w:name w:val="正文点缩进"/>
    <w:basedOn w:val="1"/>
    <w:qFormat/>
    <w:uiPriority w:val="0"/>
    <w:pPr>
      <w:widowControl/>
      <w:tabs>
        <w:tab w:val="left" w:pos="1758"/>
      </w:tabs>
      <w:snapToGrid w:val="0"/>
      <w:spacing w:after="60" w:line="288" w:lineRule="auto"/>
      <w:ind w:firstLine="200" w:firstLineChars="200"/>
      <w:jc w:val="left"/>
    </w:pPr>
    <w:rPr>
      <w:rFonts w:ascii="宋体"/>
      <w:color w:val="7030A0"/>
      <w:sz w:val="22"/>
      <w:szCs w:val="20"/>
      <w:shd w:val="clear" w:color="auto" w:fill="FFFFFF"/>
    </w:rPr>
  </w:style>
  <w:style w:type="paragraph" w:customStyle="1" w:styleId="425">
    <w:name w:val="font0"/>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426">
    <w:name w:val="Numbered List"/>
    <w:basedOn w:val="50"/>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427">
    <w:name w:val="小标4"/>
    <w:basedOn w:val="1"/>
    <w:next w:val="1"/>
    <w:qFormat/>
    <w:uiPriority w:val="0"/>
    <w:pPr>
      <w:tabs>
        <w:tab w:val="left" w:pos="900"/>
      </w:tabs>
      <w:spacing w:line="400" w:lineRule="exact"/>
      <w:ind w:left="900" w:firstLine="200" w:firstLineChars="200"/>
      <w:jc w:val="left"/>
    </w:pPr>
    <w:rPr>
      <w:rFonts w:ascii="宋体"/>
      <w:color w:val="7030A0"/>
      <w:sz w:val="24"/>
    </w:rPr>
  </w:style>
  <w:style w:type="paragraph" w:customStyle="1" w:styleId="428">
    <w:name w:val="正文3"/>
    <w:qFormat/>
    <w:uiPriority w:val="0"/>
    <w:pPr>
      <w:spacing w:line="400" w:lineRule="exact"/>
      <w:ind w:firstLine="200" w:firstLineChars="200"/>
      <w:jc w:val="both"/>
    </w:pPr>
    <w:rPr>
      <w:rFonts w:ascii="Times New Roman" w:hAnsi="Times New Roman" w:eastAsia="宋体" w:cs="Times New Roman"/>
      <w:kern w:val="2"/>
      <w:sz w:val="24"/>
      <w:lang w:val="en-US" w:eastAsia="zh-CN" w:bidi="ar-SA"/>
    </w:rPr>
  </w:style>
  <w:style w:type="paragraph" w:customStyle="1" w:styleId="429">
    <w:name w:val="投标正文"/>
    <w:basedOn w:val="1"/>
    <w:qFormat/>
    <w:uiPriority w:val="0"/>
    <w:pPr>
      <w:spacing w:line="360" w:lineRule="auto"/>
      <w:ind w:firstLine="200" w:firstLineChars="200"/>
      <w:jc w:val="left"/>
    </w:pPr>
    <w:rPr>
      <w:rFonts w:eastAsia="黑体"/>
      <w:color w:val="7030A0"/>
      <w:spacing w:val="20"/>
      <w:sz w:val="32"/>
      <w:szCs w:val="32"/>
    </w:rPr>
  </w:style>
  <w:style w:type="paragraph" w:customStyle="1" w:styleId="430">
    <w:name w:val="青岛正文"/>
    <w:basedOn w:val="1"/>
    <w:qFormat/>
    <w:uiPriority w:val="0"/>
    <w:pPr>
      <w:spacing w:line="360" w:lineRule="auto"/>
    </w:pPr>
    <w:rPr>
      <w:sz w:val="28"/>
    </w:rPr>
  </w:style>
  <w:style w:type="paragraph" w:customStyle="1" w:styleId="431">
    <w:name w:val="默认段落字体 Para Char Char Char Char"/>
    <w:basedOn w:val="1"/>
    <w:qFormat/>
    <w:uiPriority w:val="0"/>
    <w:rPr>
      <w:szCs w:val="20"/>
    </w:rPr>
  </w:style>
  <w:style w:type="paragraph" w:customStyle="1" w:styleId="432">
    <w:name w:val="Plain Text1"/>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433">
    <w:name w:val="Sub title 1"/>
    <w:basedOn w:val="304"/>
    <w:qFormat/>
    <w:uiPriority w:val="0"/>
    <w:pPr>
      <w:tabs>
        <w:tab w:val="left" w:pos="1304"/>
      </w:tabs>
      <w:ind w:left="1304" w:hanging="170"/>
    </w:pPr>
    <w:rPr>
      <w:color w:val="auto"/>
    </w:rPr>
  </w:style>
  <w:style w:type="paragraph" w:customStyle="1" w:styleId="434">
    <w:name w:val="级别6"/>
    <w:basedOn w:val="250"/>
    <w:qFormat/>
    <w:uiPriority w:val="0"/>
    <w:pPr>
      <w:tabs>
        <w:tab w:val="left" w:pos="405"/>
        <w:tab w:val="clear" w:pos="0"/>
      </w:tabs>
      <w:ind w:left="409" w:hanging="23"/>
      <w:outlineLvl w:val="5"/>
    </w:pPr>
  </w:style>
  <w:style w:type="paragraph" w:customStyle="1" w:styleId="435">
    <w:name w:val="样式 标题 3列表编号33 bulletb23 bullet1b1213 bullet2b2223 bul...2"/>
    <w:basedOn w:val="1"/>
    <w:qFormat/>
    <w:uiPriority w:val="0"/>
    <w:pPr>
      <w:ind w:left="1320" w:hanging="420" w:firstLineChars="200"/>
      <w:jc w:val="left"/>
    </w:pPr>
    <w:rPr>
      <w:color w:val="7030A0"/>
    </w:rPr>
  </w:style>
  <w:style w:type="paragraph" w:customStyle="1" w:styleId="436">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37">
    <w:name w:val="StandardOhneEinzug"/>
    <w:basedOn w:val="1"/>
    <w:qFormat/>
    <w:uiPriority w:val="0"/>
    <w:pPr>
      <w:widowControl/>
      <w:tabs>
        <w:tab w:val="left" w:pos="560"/>
      </w:tabs>
      <w:spacing w:after="240" w:line="288" w:lineRule="auto"/>
      <w:ind w:left="200" w:firstLine="200" w:firstLineChars="200"/>
      <w:jc w:val="left"/>
    </w:pPr>
    <w:rPr>
      <w:rFonts w:ascii="Arial" w:hAnsi="Arial"/>
      <w:color w:val="7030A0"/>
      <w:kern w:val="0"/>
      <w:sz w:val="22"/>
      <w:szCs w:val="20"/>
      <w:lang w:val="de-DE"/>
    </w:rPr>
  </w:style>
  <w:style w:type="paragraph" w:customStyle="1" w:styleId="438">
    <w:name w:val="样式2"/>
    <w:basedOn w:val="1"/>
    <w:qFormat/>
    <w:uiPriority w:val="0"/>
    <w:pPr>
      <w:adjustRightInd w:val="0"/>
      <w:spacing w:before="120" w:after="120" w:line="312" w:lineRule="atLeast"/>
      <w:jc w:val="center"/>
      <w:textAlignment w:val="baseline"/>
    </w:pPr>
    <w:rPr>
      <w:kern w:val="0"/>
      <w:sz w:val="24"/>
      <w:szCs w:val="20"/>
    </w:rPr>
  </w:style>
  <w:style w:type="paragraph" w:customStyle="1" w:styleId="439">
    <w:name w:val="xl45"/>
    <w:basedOn w:val="1"/>
    <w:qFormat/>
    <w:uiPriority w:val="0"/>
    <w:pPr>
      <w:widowControl/>
      <w:pBdr>
        <w:bottom w:val="single" w:color="auto" w:sz="4" w:space="0"/>
        <w:right w:val="single" w:color="auto" w:sz="4" w:space="0"/>
      </w:pBdr>
      <w:spacing w:before="100" w:after="100"/>
      <w:ind w:firstLine="200" w:firstLineChars="200"/>
      <w:jc w:val="center"/>
      <w:textAlignment w:val="center"/>
    </w:pPr>
    <w:rPr>
      <w:rFonts w:eastAsia="Times New Roman"/>
      <w:color w:val="7030A0"/>
      <w:kern w:val="0"/>
      <w:sz w:val="22"/>
      <w:szCs w:val="20"/>
    </w:rPr>
  </w:style>
  <w:style w:type="paragraph" w:customStyle="1" w:styleId="440">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pPr>
    <w:rPr>
      <w:rFonts w:eastAsia="Times New Roman"/>
      <w:color w:val="7030A0"/>
      <w:kern w:val="0"/>
      <w:szCs w:val="20"/>
    </w:rPr>
  </w:style>
  <w:style w:type="paragraph" w:customStyle="1" w:styleId="441">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table" w:customStyle="1" w:styleId="442">
    <w:name w:val="样式-表格"/>
    <w:qFormat/>
    <w:uiPriority w:val="0"/>
    <w:rPr>
      <w:sz w:val="21"/>
    </w:rPr>
    <w:tblPr>
      <w:jc w:val="center"/>
      <w:tblCellMar>
        <w:top w:w="0" w:type="dxa"/>
        <w:left w:w="108" w:type="dxa"/>
        <w:bottom w:w="0" w:type="dxa"/>
        <w:right w:w="108" w:type="dxa"/>
      </w:tblCellMar>
    </w:tblPr>
    <w:trPr>
      <w:jc w:val="center"/>
    </w:trPr>
  </w:style>
  <w:style w:type="paragraph" w:customStyle="1" w:styleId="443">
    <w:name w:val="样式 WG标题2 + 行距: 固定值 18 磅"/>
    <w:basedOn w:val="1"/>
    <w:qFormat/>
    <w:uiPriority w:val="0"/>
    <w:pPr>
      <w:autoSpaceDE w:val="0"/>
      <w:autoSpaceDN w:val="0"/>
      <w:adjustRightInd w:val="0"/>
      <w:spacing w:line="360" w:lineRule="exact"/>
      <w:outlineLvl w:val="1"/>
    </w:pPr>
    <w:rPr>
      <w:rFonts w:ascii="仿宋_GB2312" w:hAnsi="宋体" w:cs="宋体"/>
      <w:b/>
      <w:bCs/>
      <w:color w:val="000000"/>
      <w:kern w:val="20"/>
      <w:sz w:val="24"/>
      <w:szCs w:val="20"/>
    </w:rPr>
  </w:style>
  <w:style w:type="paragraph" w:customStyle="1" w:styleId="444">
    <w:name w:val="列出段落2"/>
    <w:basedOn w:val="1"/>
    <w:unhideWhenUsed/>
    <w:qFormat/>
    <w:uiPriority w:val="34"/>
    <w:pPr>
      <w:ind w:firstLine="420" w:firstLineChars="200"/>
    </w:pPr>
  </w:style>
  <w:style w:type="character" w:customStyle="1" w:styleId="445">
    <w:name w:val="hover"/>
    <w:basedOn w:val="76"/>
    <w:qFormat/>
    <w:uiPriority w:val="0"/>
    <w:rPr>
      <w:shd w:val="clear" w:color="auto" w:fill="0058A7"/>
    </w:rPr>
  </w:style>
  <w:style w:type="character" w:customStyle="1" w:styleId="446">
    <w:name w:val="hover1"/>
    <w:basedOn w:val="76"/>
    <w:qFormat/>
    <w:uiPriority w:val="0"/>
    <w:rPr>
      <w:color w:val="0058A7"/>
      <w:u w:val="none"/>
    </w:rPr>
  </w:style>
  <w:style w:type="character" w:customStyle="1" w:styleId="447">
    <w:name w:val="hover2"/>
    <w:basedOn w:val="76"/>
    <w:qFormat/>
    <w:uiPriority w:val="0"/>
    <w:rPr>
      <w:color w:val="0058A7"/>
    </w:rPr>
  </w:style>
  <w:style w:type="character" w:customStyle="1" w:styleId="448">
    <w:name w:val="hover3"/>
    <w:basedOn w:val="76"/>
    <w:qFormat/>
    <w:uiPriority w:val="0"/>
    <w:rPr>
      <w:color w:val="1A85D7"/>
    </w:rPr>
  </w:style>
  <w:style w:type="character" w:customStyle="1" w:styleId="449">
    <w:name w:val="hover4"/>
    <w:basedOn w:val="76"/>
    <w:qFormat/>
    <w:uiPriority w:val="0"/>
  </w:style>
  <w:style w:type="character" w:customStyle="1" w:styleId="450">
    <w:name w:val="credit"/>
    <w:basedOn w:val="76"/>
    <w:qFormat/>
    <w:uiPriority w:val="0"/>
    <w:rPr>
      <w:sz w:val="18"/>
      <w:szCs w:val="18"/>
    </w:rPr>
  </w:style>
  <w:style w:type="character" w:customStyle="1" w:styleId="451">
    <w:name w:val="after"/>
    <w:basedOn w:val="76"/>
    <w:qFormat/>
    <w:uiPriority w:val="0"/>
    <w:rPr>
      <w:bdr w:val="dashed" w:color="auto" w:sz="48" w:space="0"/>
    </w:rPr>
  </w:style>
  <w:style w:type="character" w:customStyle="1" w:styleId="452">
    <w:name w:val="after1"/>
    <w:basedOn w:val="76"/>
    <w:qFormat/>
    <w:uiPriority w:val="0"/>
  </w:style>
  <w:style w:type="character" w:customStyle="1" w:styleId="453">
    <w:name w:val="before"/>
    <w:basedOn w:val="76"/>
    <w:qFormat/>
    <w:uiPriority w:val="0"/>
    <w:rPr>
      <w:bdr w:val="single" w:color="auto" w:sz="48" w:space="0"/>
    </w:rPr>
  </w:style>
  <w:style w:type="character" w:customStyle="1" w:styleId="454">
    <w:name w:val="first-child"/>
    <w:basedOn w:val="76"/>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zzz</Company>
  <Pages>74</Pages>
  <Words>30135</Words>
  <Characters>31334</Characters>
  <Lines>252</Lines>
  <Paragraphs>70</Paragraphs>
  <TotalTime>3</TotalTime>
  <ScaleCrop>false</ScaleCrop>
  <LinksUpToDate>false</LinksUpToDate>
  <CharactersWithSpaces>32065</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2022-06-22T00:57:00Z</dcterms:created>
  <dc:creator>wmq</dc:creator>
  <cp:lastModifiedBy>审核</cp:lastModifiedBy>
  <cp:lastPrinted>2020-06-15T04:58:00Z</cp:lastPrinted>
  <dcterms:modified xsi:type="dcterms:W3CDTF">2022-06-24T02:49:13Z</dcterms:modified>
  <dc:title>适用一般货物采购/非建筑设备货物采购含安装等伴随服务</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DCD692F28C07421887674ADF0347F393</vt:lpwstr>
  </property>
</Properties>
</file>